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1E0F5E">
      <w:pPr>
        <w:pStyle w:val="24"/>
        <w:spacing w:line="300" w:lineRule="auto"/>
        <w:jc w:val="left"/>
        <w:rPr>
          <w:rFonts w:ascii="仿宋_GB2312" w:hAnsi="仿宋_GB2312" w:eastAsia="仿宋_GB2312" w:cs="仿宋_GB2312"/>
          <w:b/>
          <w:color w:val="000000"/>
          <w:spacing w:val="40"/>
          <w:sz w:val="40"/>
          <w:szCs w:val="40"/>
        </w:rPr>
      </w:pPr>
      <w:r>
        <w:rPr>
          <w:rFonts w:hint="eastAsia" w:ascii="仿宋" w:hAnsi="仿宋" w:eastAsia="仿宋"/>
          <w:sz w:val="48"/>
          <w:szCs w:val="52"/>
        </w:rPr>
        <w:drawing>
          <wp:anchor distT="0" distB="0" distL="114300" distR="114300" simplePos="0" relativeHeight="251659264" behindDoc="0" locked="0" layoutInCell="1" allowOverlap="1">
            <wp:simplePos x="0" y="0"/>
            <wp:positionH relativeFrom="column">
              <wp:posOffset>4392930</wp:posOffset>
            </wp:positionH>
            <wp:positionV relativeFrom="paragraph">
              <wp:posOffset>208280</wp:posOffset>
            </wp:positionV>
            <wp:extent cx="1116330" cy="1266190"/>
            <wp:effectExtent l="0" t="0" r="7620" b="10160"/>
            <wp:wrapNone/>
            <wp:docPr id="6" name="图片 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LOGO1"/>
                    <pic:cNvPicPr>
                      <a:picLocks noChangeAspect="1"/>
                    </pic:cNvPicPr>
                  </pic:nvPicPr>
                  <pic:blipFill>
                    <a:blip r:embed="rId16"/>
                    <a:srcRect l="27162" t="19608" r="27255" b="18057"/>
                    <a:stretch>
                      <a:fillRect/>
                    </a:stretch>
                  </pic:blipFill>
                  <pic:spPr>
                    <a:xfrm>
                      <a:off x="0" y="0"/>
                      <a:ext cx="1116330" cy="1266190"/>
                    </a:xfrm>
                    <a:prstGeom prst="rect">
                      <a:avLst/>
                    </a:prstGeom>
                    <a:noFill/>
                    <a:ln>
                      <a:noFill/>
                    </a:ln>
                  </pic:spPr>
                </pic:pic>
              </a:graphicData>
            </a:graphic>
          </wp:anchor>
        </w:drawing>
      </w:r>
    </w:p>
    <w:p w14:paraId="03D975E3">
      <w:pPr>
        <w:pStyle w:val="24"/>
        <w:spacing w:line="300" w:lineRule="auto"/>
        <w:jc w:val="left"/>
        <w:rPr>
          <w:rFonts w:ascii="仿宋_GB2312" w:hAnsi="仿宋_GB2312" w:eastAsia="仿宋_GB2312" w:cs="仿宋_GB2312"/>
          <w:b/>
          <w:spacing w:val="40"/>
          <w:sz w:val="36"/>
          <w:szCs w:val="36"/>
          <w:highlight w:val="yellow"/>
        </w:rPr>
      </w:pPr>
    </w:p>
    <w:p w14:paraId="475A04A2">
      <w:pPr>
        <w:spacing w:line="300" w:lineRule="auto"/>
        <w:jc w:val="center"/>
        <w:rPr>
          <w:rFonts w:ascii="仿宋_GB2312" w:hAnsi="仿宋_GB2312" w:eastAsia="仿宋_GB2312" w:cs="仿宋_GB2312"/>
          <w:b/>
          <w:sz w:val="72"/>
          <w:szCs w:val="72"/>
        </w:rPr>
      </w:pPr>
    </w:p>
    <w:p w14:paraId="2243024E">
      <w:pPr>
        <w:spacing w:line="300" w:lineRule="auto"/>
        <w:jc w:val="center"/>
        <w:rPr>
          <w:rFonts w:hint="default" w:ascii="微软雅黑" w:hAnsi="微软雅黑" w:eastAsia="微软雅黑" w:cs="微软雅黑"/>
          <w:b/>
          <w:sz w:val="72"/>
          <w:szCs w:val="56"/>
          <w:lang w:val="en-US"/>
        </w:rPr>
      </w:pPr>
      <w:r>
        <w:rPr>
          <w:rFonts w:hint="eastAsia" w:ascii="微软雅黑" w:hAnsi="微软雅黑" w:eastAsia="微软雅黑" w:cs="微软雅黑"/>
          <w:b/>
          <w:color w:val="auto"/>
          <w:sz w:val="72"/>
          <w:szCs w:val="56"/>
          <w:highlight w:val="none"/>
        </w:rPr>
        <w:t>武汉市中心医院工会委员会</w:t>
      </w:r>
    </w:p>
    <w:p w14:paraId="38B04806">
      <w:pPr>
        <w:spacing w:line="300" w:lineRule="auto"/>
        <w:jc w:val="center"/>
        <w:rPr>
          <w:rFonts w:ascii="微软雅黑" w:hAnsi="微软雅黑" w:eastAsia="微软雅黑" w:cs="微软雅黑"/>
          <w:b/>
          <w:sz w:val="72"/>
          <w:szCs w:val="56"/>
        </w:rPr>
      </w:pPr>
      <w:r>
        <w:rPr>
          <w:rFonts w:hint="eastAsia" w:ascii="微软雅黑" w:hAnsi="微软雅黑" w:eastAsia="微软雅黑" w:cs="微软雅黑"/>
          <w:b/>
          <w:sz w:val="72"/>
          <w:szCs w:val="56"/>
        </w:rPr>
        <w:t>公开招标文件</w:t>
      </w:r>
    </w:p>
    <w:p w14:paraId="43105860">
      <w:pPr>
        <w:keepNext w:val="0"/>
        <w:keepLines w:val="0"/>
        <w:pageBreakBefore w:val="0"/>
        <w:widowControl w:val="0"/>
        <w:kinsoku/>
        <w:wordWrap/>
        <w:overflowPunct/>
        <w:topLinePunct w:val="0"/>
        <w:autoSpaceDE/>
        <w:autoSpaceDN/>
        <w:bidi w:val="0"/>
        <w:adjustRightInd/>
        <w:snapToGrid/>
        <w:spacing w:line="360" w:lineRule="auto"/>
        <w:ind w:left="0" w:leftChars="0" w:firstLine="1124" w:firstLineChars="400"/>
        <w:jc w:val="left"/>
        <w:textAlignment w:val="auto"/>
        <w:rPr>
          <w:rFonts w:hint="eastAsia" w:ascii="仿宋_GB2312" w:hAnsi="仿宋_GB2312" w:eastAsia="仿宋_GB2312" w:cs="仿宋_GB2312"/>
          <w:b/>
          <w:bCs/>
          <w:sz w:val="28"/>
          <w:szCs w:val="36"/>
        </w:rPr>
      </w:pPr>
    </w:p>
    <w:p w14:paraId="079DBE5B">
      <w:pPr>
        <w:keepNext w:val="0"/>
        <w:keepLines w:val="0"/>
        <w:pageBreakBefore w:val="0"/>
        <w:widowControl w:val="0"/>
        <w:kinsoku/>
        <w:wordWrap/>
        <w:overflowPunct/>
        <w:topLinePunct w:val="0"/>
        <w:autoSpaceDE/>
        <w:autoSpaceDN/>
        <w:bidi w:val="0"/>
        <w:adjustRightInd/>
        <w:snapToGrid/>
        <w:spacing w:line="360" w:lineRule="auto"/>
        <w:ind w:left="0" w:leftChars="0" w:firstLine="1124" w:firstLineChars="400"/>
        <w:jc w:val="left"/>
        <w:textAlignment w:val="auto"/>
        <w:rPr>
          <w:rFonts w:hint="eastAsia" w:ascii="仿宋_GB2312" w:hAnsi="仿宋_GB2312" w:eastAsia="仿宋_GB2312" w:cs="仿宋_GB2312"/>
          <w:b/>
          <w:bCs/>
          <w:sz w:val="28"/>
          <w:szCs w:val="36"/>
          <w:lang w:val="en-US" w:eastAsia="zh-CN"/>
        </w:rPr>
      </w:pPr>
      <w:r>
        <w:rPr>
          <w:rFonts w:hint="eastAsia" w:ascii="仿宋_GB2312" w:hAnsi="仿宋_GB2312" w:eastAsia="仿宋_GB2312" w:cs="仿宋_GB2312"/>
          <w:b/>
          <w:bCs/>
          <w:sz w:val="28"/>
          <w:szCs w:val="36"/>
        </w:rPr>
        <w:t>采购计划备案号：</w:t>
      </w:r>
      <w:r>
        <w:rPr>
          <w:rFonts w:hint="eastAsia" w:ascii="仿宋_GB2312" w:hAnsi="仿宋_GB2312" w:eastAsia="仿宋_GB2312" w:cs="仿宋_GB2312"/>
          <w:b/>
          <w:bCs/>
          <w:sz w:val="28"/>
          <w:szCs w:val="36"/>
          <w:lang w:val="en-US" w:eastAsia="zh-CN"/>
        </w:rPr>
        <w:t>/</w:t>
      </w:r>
    </w:p>
    <w:p w14:paraId="04FF814D">
      <w:pPr>
        <w:keepNext w:val="0"/>
        <w:keepLines w:val="0"/>
        <w:pageBreakBefore w:val="0"/>
        <w:widowControl w:val="0"/>
        <w:kinsoku/>
        <w:wordWrap/>
        <w:overflowPunct/>
        <w:topLinePunct w:val="0"/>
        <w:autoSpaceDE/>
        <w:autoSpaceDN/>
        <w:bidi w:val="0"/>
        <w:adjustRightInd/>
        <w:snapToGrid/>
        <w:spacing w:line="360" w:lineRule="auto"/>
        <w:ind w:left="0" w:leftChars="0" w:firstLine="1124" w:firstLineChars="400"/>
        <w:jc w:val="left"/>
        <w:textAlignment w:val="auto"/>
        <w:rPr>
          <w:rFonts w:hint="default" w:ascii="仿宋_GB2312" w:hAnsi="仿宋_GB2312" w:eastAsia="仿宋_GB2312" w:cs="仿宋_GB2312"/>
          <w:b/>
          <w:bCs/>
          <w:sz w:val="28"/>
          <w:szCs w:val="36"/>
          <w:lang w:val="en-US" w:eastAsia="zh-CN"/>
        </w:rPr>
      </w:pPr>
      <w:r>
        <w:rPr>
          <w:rFonts w:hint="eastAsia" w:ascii="仿宋_GB2312" w:hAnsi="仿宋_GB2312" w:eastAsia="仿宋_GB2312" w:cs="仿宋_GB2312"/>
          <w:b/>
          <w:bCs/>
          <w:sz w:val="28"/>
          <w:szCs w:val="36"/>
        </w:rPr>
        <w:t>项目编号：HBZLT-WH-</w:t>
      </w:r>
      <w:r>
        <w:rPr>
          <w:rFonts w:hint="eastAsia" w:ascii="仿宋_GB2312" w:hAnsi="仿宋_GB2312" w:eastAsia="仿宋_GB2312" w:cs="仿宋_GB2312"/>
          <w:b/>
          <w:bCs/>
          <w:sz w:val="28"/>
          <w:szCs w:val="36"/>
          <w:lang w:val="en-US" w:eastAsia="zh-CN"/>
        </w:rPr>
        <w:t>125041</w:t>
      </w:r>
    </w:p>
    <w:p w14:paraId="0779569F">
      <w:pPr>
        <w:keepNext w:val="0"/>
        <w:keepLines w:val="0"/>
        <w:pageBreakBefore w:val="0"/>
        <w:widowControl w:val="0"/>
        <w:kinsoku/>
        <w:wordWrap/>
        <w:overflowPunct/>
        <w:topLinePunct w:val="0"/>
        <w:autoSpaceDE/>
        <w:autoSpaceDN/>
        <w:bidi w:val="0"/>
        <w:adjustRightInd/>
        <w:snapToGrid/>
        <w:spacing w:line="360" w:lineRule="auto"/>
        <w:ind w:left="0" w:leftChars="0" w:firstLine="1124" w:firstLineChars="400"/>
        <w:jc w:val="left"/>
        <w:textAlignment w:val="auto"/>
        <w:rPr>
          <w:rFonts w:hint="eastAsia" w:ascii="仿宋_GB2312" w:hAnsi="仿宋_GB2312" w:eastAsia="仿宋_GB2312" w:cs="仿宋_GB2312"/>
          <w:b/>
          <w:bCs/>
          <w:color w:val="auto"/>
          <w:sz w:val="28"/>
          <w:szCs w:val="36"/>
          <w:highlight w:val="none"/>
          <w:lang w:val="en-US" w:eastAsia="zh-CN"/>
        </w:rPr>
      </w:pPr>
      <w:r>
        <w:rPr>
          <w:rFonts w:hint="eastAsia" w:ascii="仿宋_GB2312" w:hAnsi="仿宋_GB2312" w:eastAsia="仿宋_GB2312" w:cs="仿宋_GB2312"/>
          <w:b/>
          <w:bCs/>
          <w:color w:val="auto"/>
          <w:sz w:val="28"/>
          <w:szCs w:val="36"/>
          <w:highlight w:val="none"/>
        </w:rPr>
        <w:t>项目名称：</w:t>
      </w:r>
      <w:r>
        <w:rPr>
          <w:rFonts w:hint="eastAsia" w:ascii="仿宋_GB2312" w:hAnsi="仿宋_GB2312" w:eastAsia="仿宋_GB2312" w:cs="仿宋_GB2312"/>
          <w:b/>
          <w:bCs/>
          <w:color w:val="auto"/>
          <w:sz w:val="28"/>
          <w:szCs w:val="36"/>
          <w:highlight w:val="none"/>
          <w:lang w:val="en-US" w:eastAsia="zh-CN"/>
        </w:rPr>
        <w:t>武汉市中心医院退休职工2025年-2026年纪念品</w:t>
      </w:r>
    </w:p>
    <w:p w14:paraId="75C5F0A9">
      <w:pPr>
        <w:keepNext w:val="0"/>
        <w:keepLines w:val="0"/>
        <w:pageBreakBefore w:val="0"/>
        <w:widowControl w:val="0"/>
        <w:kinsoku/>
        <w:wordWrap/>
        <w:overflowPunct/>
        <w:topLinePunct w:val="0"/>
        <w:autoSpaceDE/>
        <w:autoSpaceDN/>
        <w:bidi w:val="0"/>
        <w:adjustRightInd/>
        <w:snapToGrid/>
        <w:spacing w:line="360" w:lineRule="auto"/>
        <w:ind w:left="0" w:leftChars="0" w:firstLine="2530" w:firstLineChars="900"/>
        <w:jc w:val="left"/>
        <w:textAlignment w:val="auto"/>
        <w:rPr>
          <w:rFonts w:hint="eastAsia" w:ascii="仿宋_GB2312" w:hAnsi="仿宋_GB2312" w:eastAsia="仿宋_GB2312" w:cs="仿宋_GB2312"/>
          <w:b/>
          <w:bCs/>
          <w:color w:val="auto"/>
          <w:sz w:val="28"/>
          <w:szCs w:val="36"/>
          <w:highlight w:val="none"/>
          <w:lang w:eastAsia="zh-CN"/>
        </w:rPr>
      </w:pPr>
      <w:r>
        <w:rPr>
          <w:rFonts w:hint="eastAsia" w:ascii="仿宋_GB2312" w:hAnsi="仿宋_GB2312" w:eastAsia="仿宋_GB2312" w:cs="仿宋_GB2312"/>
          <w:b/>
          <w:bCs/>
          <w:color w:val="auto"/>
          <w:sz w:val="28"/>
          <w:szCs w:val="36"/>
          <w:highlight w:val="none"/>
          <w:lang w:val="en-US" w:eastAsia="zh-CN"/>
        </w:rPr>
        <w:t>采购项目</w:t>
      </w:r>
    </w:p>
    <w:p w14:paraId="36FD2012">
      <w:pPr>
        <w:keepNext w:val="0"/>
        <w:keepLines w:val="0"/>
        <w:pageBreakBefore w:val="0"/>
        <w:widowControl w:val="0"/>
        <w:kinsoku/>
        <w:wordWrap/>
        <w:overflowPunct/>
        <w:topLinePunct w:val="0"/>
        <w:autoSpaceDE/>
        <w:autoSpaceDN/>
        <w:bidi w:val="0"/>
        <w:adjustRightInd/>
        <w:snapToGrid/>
        <w:spacing w:line="360" w:lineRule="auto"/>
        <w:ind w:left="0" w:leftChars="0" w:firstLine="1124" w:firstLineChars="400"/>
        <w:jc w:val="left"/>
        <w:textAlignment w:val="auto"/>
        <w:rPr>
          <w:rFonts w:hint="eastAsia" w:ascii="仿宋_GB2312" w:hAnsi="仿宋_GB2312" w:eastAsia="仿宋_GB2312" w:cs="仿宋_GB2312"/>
          <w:b/>
          <w:bCs/>
          <w:sz w:val="28"/>
          <w:szCs w:val="36"/>
          <w:highlight w:val="none"/>
          <w:lang w:val="en-US" w:eastAsia="zh-CN"/>
        </w:rPr>
      </w:pPr>
      <w:r>
        <w:rPr>
          <w:rFonts w:hint="eastAsia" w:ascii="仿宋_GB2312" w:hAnsi="仿宋_GB2312" w:eastAsia="仿宋_GB2312" w:cs="仿宋_GB2312"/>
          <w:b/>
          <w:bCs/>
          <w:sz w:val="28"/>
          <w:szCs w:val="36"/>
          <w:highlight w:val="none"/>
        </w:rPr>
        <w:t>采购包编号：</w:t>
      </w:r>
      <w:r>
        <w:rPr>
          <w:rFonts w:hint="eastAsia" w:ascii="仿宋_GB2312" w:hAnsi="仿宋_GB2312" w:eastAsia="仿宋_GB2312" w:cs="仿宋_GB2312"/>
          <w:b/>
          <w:bCs/>
          <w:sz w:val="28"/>
          <w:szCs w:val="36"/>
          <w:highlight w:val="none"/>
          <w:lang w:val="en-US" w:eastAsia="zh-CN"/>
        </w:rPr>
        <w:t>1</w:t>
      </w:r>
    </w:p>
    <w:p w14:paraId="2D727D62">
      <w:pPr>
        <w:keepNext w:val="0"/>
        <w:keepLines w:val="0"/>
        <w:pageBreakBefore w:val="0"/>
        <w:widowControl w:val="0"/>
        <w:kinsoku/>
        <w:wordWrap/>
        <w:overflowPunct/>
        <w:topLinePunct w:val="0"/>
        <w:autoSpaceDE/>
        <w:autoSpaceDN/>
        <w:bidi w:val="0"/>
        <w:adjustRightInd/>
        <w:snapToGrid/>
        <w:spacing w:line="360" w:lineRule="auto"/>
        <w:ind w:left="0" w:leftChars="0" w:firstLine="1124" w:firstLineChars="400"/>
        <w:jc w:val="left"/>
        <w:textAlignment w:val="auto"/>
        <w:rPr>
          <w:rFonts w:hint="eastAsia" w:ascii="仿宋_GB2312" w:hAnsi="仿宋_GB2312" w:eastAsia="仿宋_GB2312" w:cs="仿宋_GB2312"/>
          <w:b/>
          <w:bCs/>
          <w:color w:val="auto"/>
          <w:sz w:val="28"/>
          <w:szCs w:val="36"/>
          <w:highlight w:val="none"/>
          <w:lang w:val="en-US" w:eastAsia="zh-CN"/>
        </w:rPr>
      </w:pPr>
      <w:r>
        <w:rPr>
          <w:rFonts w:hint="eastAsia" w:ascii="仿宋_GB2312" w:hAnsi="仿宋_GB2312" w:eastAsia="仿宋_GB2312" w:cs="仿宋_GB2312"/>
          <w:b/>
          <w:bCs/>
          <w:sz w:val="28"/>
          <w:szCs w:val="36"/>
          <w:highlight w:val="none"/>
        </w:rPr>
        <w:t>采购包</w:t>
      </w:r>
      <w:r>
        <w:rPr>
          <w:rFonts w:hint="eastAsia" w:ascii="仿宋_GB2312" w:hAnsi="仿宋_GB2312" w:eastAsia="仿宋_GB2312" w:cs="仿宋_GB2312"/>
          <w:b/>
          <w:bCs/>
          <w:color w:val="auto"/>
          <w:sz w:val="28"/>
          <w:szCs w:val="36"/>
          <w:highlight w:val="none"/>
        </w:rPr>
        <w:t>名称：</w:t>
      </w:r>
      <w:r>
        <w:rPr>
          <w:rFonts w:hint="eastAsia" w:ascii="仿宋_GB2312" w:hAnsi="仿宋_GB2312" w:eastAsia="仿宋_GB2312" w:cs="仿宋_GB2312"/>
          <w:b/>
          <w:bCs/>
          <w:color w:val="auto"/>
          <w:sz w:val="28"/>
          <w:szCs w:val="36"/>
          <w:highlight w:val="none"/>
          <w:lang w:val="en-US" w:eastAsia="zh-CN"/>
        </w:rPr>
        <w:t>武汉市中心医院退休职工2025年-2026年纪念品</w:t>
      </w:r>
    </w:p>
    <w:p w14:paraId="1BD17CC8">
      <w:pPr>
        <w:keepNext w:val="0"/>
        <w:keepLines w:val="0"/>
        <w:pageBreakBefore w:val="0"/>
        <w:widowControl w:val="0"/>
        <w:kinsoku/>
        <w:wordWrap/>
        <w:overflowPunct/>
        <w:topLinePunct w:val="0"/>
        <w:autoSpaceDE/>
        <w:autoSpaceDN/>
        <w:bidi w:val="0"/>
        <w:adjustRightInd/>
        <w:snapToGrid/>
        <w:spacing w:line="360" w:lineRule="auto"/>
        <w:ind w:left="0" w:leftChars="0" w:firstLine="2811" w:firstLineChars="1000"/>
        <w:jc w:val="left"/>
        <w:textAlignment w:val="auto"/>
        <w:rPr>
          <w:rFonts w:hint="eastAsia" w:ascii="仿宋_GB2312" w:hAnsi="仿宋_GB2312" w:eastAsia="仿宋_GB2312" w:cs="仿宋_GB2312"/>
          <w:b/>
          <w:bCs/>
          <w:sz w:val="28"/>
          <w:szCs w:val="36"/>
          <w:highlight w:val="none"/>
        </w:rPr>
      </w:pPr>
      <w:r>
        <w:rPr>
          <w:rFonts w:hint="eastAsia" w:ascii="仿宋_GB2312" w:hAnsi="仿宋_GB2312" w:eastAsia="仿宋_GB2312" w:cs="仿宋_GB2312"/>
          <w:b/>
          <w:bCs/>
          <w:color w:val="auto"/>
          <w:sz w:val="28"/>
          <w:szCs w:val="36"/>
          <w:highlight w:val="none"/>
          <w:lang w:val="en-US" w:eastAsia="zh-CN"/>
        </w:rPr>
        <w:t>采购项目</w:t>
      </w:r>
    </w:p>
    <w:p w14:paraId="2F031292">
      <w:pPr>
        <w:keepNext w:val="0"/>
        <w:keepLines w:val="0"/>
        <w:pageBreakBefore w:val="0"/>
        <w:widowControl w:val="0"/>
        <w:kinsoku/>
        <w:wordWrap/>
        <w:overflowPunct/>
        <w:topLinePunct w:val="0"/>
        <w:autoSpaceDE/>
        <w:autoSpaceDN/>
        <w:bidi w:val="0"/>
        <w:adjustRightInd/>
        <w:snapToGrid/>
        <w:spacing w:line="360" w:lineRule="auto"/>
        <w:ind w:left="0" w:leftChars="0" w:firstLine="1124" w:firstLineChars="400"/>
        <w:jc w:val="left"/>
        <w:textAlignment w:val="auto"/>
        <w:rPr>
          <w:rFonts w:hint="default" w:ascii="仿宋_GB2312" w:hAnsi="仿宋_GB2312" w:eastAsia="仿宋_GB2312" w:cs="仿宋_GB2312"/>
          <w:b/>
          <w:bCs/>
          <w:sz w:val="28"/>
          <w:szCs w:val="36"/>
          <w:lang w:val="en-US" w:eastAsia="zh-CN"/>
        </w:rPr>
      </w:pPr>
      <w:r>
        <w:rPr>
          <w:rFonts w:hint="eastAsia" w:ascii="仿宋_GB2312" w:hAnsi="仿宋_GB2312" w:eastAsia="仿宋_GB2312" w:cs="仿宋_GB2312"/>
          <w:b/>
          <w:bCs/>
          <w:sz w:val="28"/>
          <w:szCs w:val="36"/>
        </w:rPr>
        <w:t>采购人：武汉市中心医院工会委员会</w:t>
      </w:r>
    </w:p>
    <w:p w14:paraId="458CC8F2">
      <w:pPr>
        <w:keepNext w:val="0"/>
        <w:keepLines w:val="0"/>
        <w:pageBreakBefore w:val="0"/>
        <w:widowControl w:val="0"/>
        <w:kinsoku/>
        <w:wordWrap/>
        <w:overflowPunct/>
        <w:topLinePunct w:val="0"/>
        <w:autoSpaceDE/>
        <w:autoSpaceDN/>
        <w:bidi w:val="0"/>
        <w:adjustRightInd/>
        <w:snapToGrid/>
        <w:spacing w:line="360" w:lineRule="auto"/>
        <w:ind w:left="0" w:leftChars="0" w:firstLine="1124" w:firstLineChars="400"/>
        <w:jc w:val="left"/>
        <w:textAlignment w:val="auto"/>
        <w:rPr>
          <w:rFonts w:hint="eastAsia" w:ascii="仿宋_GB2312" w:hAnsi="仿宋_GB2312" w:eastAsia="仿宋_GB2312" w:cs="仿宋_GB2312"/>
          <w:b/>
          <w:bCs/>
          <w:sz w:val="28"/>
          <w:szCs w:val="36"/>
        </w:rPr>
      </w:pPr>
      <w:r>
        <w:rPr>
          <w:rFonts w:hint="eastAsia" w:ascii="仿宋_GB2312" w:hAnsi="仿宋_GB2312" w:eastAsia="仿宋_GB2312" w:cs="仿宋_GB2312"/>
          <w:b/>
          <w:bCs/>
          <w:sz w:val="28"/>
          <w:szCs w:val="36"/>
        </w:rPr>
        <w:t>采购代理机构：湖北中联太工程造价咨询有限公司</w:t>
      </w:r>
    </w:p>
    <w:p w14:paraId="4C76D14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b/>
          <w:bCs/>
          <w:sz w:val="28"/>
          <w:szCs w:val="36"/>
        </w:rPr>
      </w:pPr>
      <w:r>
        <w:rPr>
          <w:rFonts w:hint="eastAsia" w:ascii="仿宋_GB2312" w:hAnsi="仿宋_GB2312" w:eastAsia="仿宋_GB2312" w:cs="仿宋_GB2312"/>
          <w:b/>
          <w:bCs/>
          <w:sz w:val="28"/>
          <w:szCs w:val="36"/>
          <w:lang w:eastAsia="zh-CN"/>
        </w:rPr>
        <w:t>二○二</w:t>
      </w:r>
      <w:r>
        <w:rPr>
          <w:rFonts w:hint="eastAsia" w:ascii="仿宋_GB2312" w:hAnsi="仿宋_GB2312" w:eastAsia="仿宋_GB2312" w:cs="仿宋_GB2312"/>
          <w:b/>
          <w:bCs/>
          <w:sz w:val="28"/>
          <w:szCs w:val="36"/>
          <w:lang w:val="en-US" w:eastAsia="zh-CN"/>
        </w:rPr>
        <w:t>五</w:t>
      </w:r>
      <w:r>
        <w:rPr>
          <w:rFonts w:hint="eastAsia" w:ascii="仿宋_GB2312" w:hAnsi="仿宋_GB2312" w:eastAsia="仿宋_GB2312" w:cs="仿宋_GB2312"/>
          <w:b/>
          <w:bCs/>
          <w:sz w:val="28"/>
          <w:szCs w:val="36"/>
        </w:rPr>
        <w:t>年</w:t>
      </w:r>
      <w:r>
        <w:rPr>
          <w:rFonts w:hint="eastAsia" w:ascii="仿宋_GB2312" w:hAnsi="仿宋_GB2312" w:eastAsia="仿宋_GB2312" w:cs="仿宋_GB2312"/>
          <w:b/>
          <w:bCs/>
          <w:sz w:val="28"/>
          <w:szCs w:val="36"/>
          <w:lang w:val="en-US" w:eastAsia="zh-CN"/>
        </w:rPr>
        <w:t>四</w:t>
      </w:r>
      <w:r>
        <w:rPr>
          <w:rFonts w:hint="eastAsia" w:ascii="仿宋_GB2312" w:hAnsi="仿宋_GB2312" w:eastAsia="仿宋_GB2312" w:cs="仿宋_GB2312"/>
          <w:b/>
          <w:bCs/>
          <w:sz w:val="28"/>
          <w:szCs w:val="36"/>
        </w:rPr>
        <w:t>月</w:t>
      </w:r>
    </w:p>
    <w:p w14:paraId="7C23B36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_GB2312" w:hAnsi="仿宋_GB2312" w:eastAsia="仿宋_GB2312" w:cs="仿宋_GB2312"/>
          <w:b/>
          <w:bCs/>
          <w:sz w:val="28"/>
          <w:szCs w:val="36"/>
        </w:rPr>
      </w:pPr>
    </w:p>
    <w:p w14:paraId="5EA47636">
      <w:pPr>
        <w:spacing w:line="360" w:lineRule="auto"/>
        <w:jc w:val="both"/>
        <w:rPr>
          <w:rFonts w:hint="eastAsia" w:ascii="仿宋_GB2312" w:hAnsi="仿宋_GB2312" w:eastAsia="仿宋_GB2312" w:cs="仿宋_GB2312"/>
          <w:b/>
          <w:sz w:val="24"/>
          <w:szCs w:val="24"/>
          <w:lang w:val="en-US" w:eastAsia="zh-CN"/>
        </w:rPr>
        <w:sectPr>
          <w:headerReference r:id="rId4" w:type="first"/>
          <w:headerReference r:id="rId3" w:type="default"/>
          <w:footerReference r:id="rId5" w:type="default"/>
          <w:pgSz w:w="11907" w:h="16840"/>
          <w:pgMar w:top="1134" w:right="1247" w:bottom="1020" w:left="1247" w:header="851" w:footer="992" w:gutter="0"/>
          <w:cols w:space="0" w:num="1"/>
          <w:titlePg/>
          <w:rtlGutter w:val="0"/>
          <w:docGrid w:type="lines" w:linePitch="312" w:charSpace="0"/>
        </w:sectPr>
      </w:pPr>
    </w:p>
    <w:p w14:paraId="229666CB">
      <w:pPr>
        <w:keepNext w:val="0"/>
        <w:keepLines w:val="0"/>
        <w:pageBreakBefore w:val="0"/>
        <w:widowControl w:val="0"/>
        <w:kinsoku/>
        <w:wordWrap/>
        <w:overflowPunct/>
        <w:topLinePunct w:val="0"/>
        <w:autoSpaceDE/>
        <w:autoSpaceDN/>
        <w:bidi w:val="0"/>
        <w:adjustRightInd/>
        <w:snapToGrid/>
        <w:spacing w:line="360" w:lineRule="auto"/>
        <w:ind w:right="126" w:rightChars="60"/>
        <w:jc w:val="center"/>
        <w:textAlignment w:val="auto"/>
        <w:rPr>
          <w:rFonts w:hint="eastAsia" w:ascii="仿宋" w:hAnsi="仿宋" w:eastAsia="仿宋" w:cs="仿宋"/>
          <w:b/>
          <w:color w:val="000000"/>
          <w:sz w:val="32"/>
        </w:rPr>
      </w:pPr>
      <w:r>
        <w:rPr>
          <w:rFonts w:hint="eastAsia" w:ascii="仿宋" w:hAnsi="仿宋" w:eastAsia="仿宋" w:cs="仿宋"/>
          <w:b/>
          <w:color w:val="000000"/>
          <w:sz w:val="32"/>
        </w:rPr>
        <w:t>目   录</w:t>
      </w:r>
    </w:p>
    <w:p w14:paraId="15260115">
      <w:pPr>
        <w:pStyle w:val="31"/>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val="0"/>
          <w:caps w:val="0"/>
          <w:color w:val="000000"/>
          <w:sz w:val="24"/>
          <w:szCs w:val="24"/>
        </w:rPr>
        <w:fldChar w:fldCharType="begin"/>
      </w:r>
      <w:r>
        <w:rPr>
          <w:rFonts w:hint="eastAsia" w:ascii="仿宋" w:hAnsi="仿宋" w:eastAsia="仿宋" w:cs="仿宋"/>
          <w:bCs w:val="0"/>
          <w:caps w:val="0"/>
          <w:color w:val="000000"/>
          <w:sz w:val="24"/>
          <w:szCs w:val="24"/>
        </w:rPr>
        <w:instrText xml:space="preserve"> TOC \o "1-2" \h \z \u </w:instrText>
      </w:r>
      <w:r>
        <w:rPr>
          <w:rFonts w:hint="eastAsia" w:ascii="仿宋" w:hAnsi="仿宋" w:eastAsia="仿宋" w:cs="仿宋"/>
          <w:bCs w:val="0"/>
          <w:caps w:val="0"/>
          <w:color w:val="000000"/>
          <w:sz w:val="24"/>
          <w:szCs w:val="24"/>
        </w:rPr>
        <w:fldChar w:fldCharType="separate"/>
      </w:r>
      <w:r>
        <w:rPr>
          <w:rFonts w:hint="eastAsia" w:ascii="仿宋" w:hAnsi="仿宋" w:eastAsia="仿宋" w:cs="仿宋"/>
          <w:bCs w:val="0"/>
          <w:caps w:val="0"/>
          <w:color w:val="000000"/>
          <w:sz w:val="24"/>
          <w:szCs w:val="24"/>
        </w:rPr>
        <w:fldChar w:fldCharType="begin"/>
      </w:r>
      <w:r>
        <w:rPr>
          <w:rFonts w:hint="eastAsia" w:ascii="仿宋" w:hAnsi="仿宋" w:eastAsia="仿宋" w:cs="仿宋"/>
          <w:bCs w:val="0"/>
          <w:caps w:val="0"/>
          <w:sz w:val="24"/>
          <w:szCs w:val="24"/>
        </w:rPr>
        <w:instrText xml:space="preserve"> HYPERLINK \l _Toc29517 </w:instrText>
      </w:r>
      <w:r>
        <w:rPr>
          <w:rFonts w:hint="eastAsia" w:ascii="仿宋" w:hAnsi="仿宋" w:eastAsia="仿宋" w:cs="仿宋"/>
          <w:bCs w:val="0"/>
          <w:caps w:val="0"/>
          <w:sz w:val="24"/>
          <w:szCs w:val="24"/>
        </w:rPr>
        <w:fldChar w:fldCharType="separate"/>
      </w:r>
      <w:r>
        <w:rPr>
          <w:rFonts w:hint="eastAsia" w:ascii="仿宋" w:hAnsi="仿宋" w:eastAsia="仿宋" w:cs="仿宋"/>
          <w:i w:val="0"/>
          <w:sz w:val="24"/>
          <w:szCs w:val="24"/>
        </w:rPr>
        <w:t xml:space="preserve">第一章 </w:t>
      </w:r>
      <w:r>
        <w:rPr>
          <w:rFonts w:hint="eastAsia" w:ascii="仿宋" w:hAnsi="仿宋" w:eastAsia="仿宋" w:cs="仿宋"/>
          <w:sz w:val="24"/>
          <w:szCs w:val="24"/>
        </w:rPr>
        <w:t>投标邀请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_Toc29517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bCs w:val="0"/>
          <w:caps w:val="0"/>
          <w:color w:val="000000"/>
          <w:sz w:val="24"/>
          <w:szCs w:val="24"/>
        </w:rPr>
        <w:fldChar w:fldCharType="end"/>
      </w:r>
    </w:p>
    <w:p w14:paraId="6269E1FE">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_Toc5608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一、项目基本情况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_Toc5608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6C77860D">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_Toc22472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二、投标人资格要求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_Toc22472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0629B62C">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_Toc22469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三、获取招标文件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_Toc22469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25E04297">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_Toc32485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四、提交投标文件截止时间、开标时间和地点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_Toc32485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34DE1EB3">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_Toc27756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五、公告期限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_Toc27756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3A6D833E">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_Toc12945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六、其他补充事宜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_Toc12945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3BBBF7BA">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_Toc19874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七、对本次招标提出询问，请按以下方式联系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_Toc19874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093E5FAC">
      <w:pPr>
        <w:pStyle w:val="31"/>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_Toc9951 </w:instrText>
      </w:r>
      <w:r>
        <w:rPr>
          <w:rFonts w:hint="eastAsia" w:ascii="仿宋" w:hAnsi="仿宋" w:eastAsia="仿宋" w:cs="仿宋"/>
          <w:bCs/>
          <w:caps/>
          <w:sz w:val="24"/>
          <w:szCs w:val="24"/>
        </w:rPr>
        <w:fldChar w:fldCharType="separate"/>
      </w:r>
      <w:r>
        <w:rPr>
          <w:rFonts w:hint="eastAsia" w:ascii="仿宋" w:hAnsi="仿宋" w:eastAsia="仿宋" w:cs="仿宋"/>
          <w:i w:val="0"/>
          <w:sz w:val="24"/>
          <w:szCs w:val="24"/>
        </w:rPr>
        <w:t xml:space="preserve">第二章 </w:t>
      </w:r>
      <w:r>
        <w:rPr>
          <w:rFonts w:hint="eastAsia" w:ascii="仿宋" w:hAnsi="仿宋" w:eastAsia="仿宋" w:cs="仿宋"/>
          <w:sz w:val="24"/>
          <w:szCs w:val="24"/>
        </w:rPr>
        <w:t>投标人须知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_Toc9951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75874A34">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_Toc775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一、《投标人须知前附表》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_Toc775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2F8ABFA0">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_Toc16736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二、投标人须知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_Toc16736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3C666AC3">
      <w:pPr>
        <w:pStyle w:val="31"/>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_Toc11924 </w:instrText>
      </w:r>
      <w:r>
        <w:rPr>
          <w:rFonts w:hint="eastAsia" w:ascii="仿宋" w:hAnsi="仿宋" w:eastAsia="仿宋" w:cs="仿宋"/>
          <w:bCs/>
          <w:caps/>
          <w:sz w:val="24"/>
          <w:szCs w:val="24"/>
        </w:rPr>
        <w:fldChar w:fldCharType="separate"/>
      </w:r>
      <w:r>
        <w:rPr>
          <w:rFonts w:hint="eastAsia" w:ascii="仿宋" w:hAnsi="仿宋" w:eastAsia="仿宋" w:cs="仿宋"/>
          <w:i w:val="0"/>
          <w:sz w:val="24"/>
          <w:szCs w:val="24"/>
          <w:shd w:val="clear" w:fill="FFFFFF"/>
        </w:rPr>
        <w:t xml:space="preserve">第三章 </w:t>
      </w:r>
      <w:r>
        <w:rPr>
          <w:rFonts w:hint="eastAsia" w:ascii="仿宋" w:hAnsi="仿宋" w:eastAsia="仿宋" w:cs="仿宋"/>
          <w:sz w:val="24"/>
          <w:szCs w:val="24"/>
        </w:rPr>
        <w:t>采购</w:t>
      </w:r>
      <w:r>
        <w:rPr>
          <w:rFonts w:hint="eastAsia" w:ascii="仿宋" w:hAnsi="仿宋" w:eastAsia="仿宋" w:cs="仿宋"/>
          <w:sz w:val="24"/>
          <w:szCs w:val="24"/>
          <w:lang w:val="en-US" w:eastAsia="zh-CN"/>
        </w:rPr>
        <w:t>需求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_Toc11924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6C67DFA6">
      <w:pPr>
        <w:pStyle w:val="31"/>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_Toc7585 </w:instrText>
      </w:r>
      <w:r>
        <w:rPr>
          <w:rFonts w:hint="eastAsia" w:ascii="仿宋" w:hAnsi="仿宋" w:eastAsia="仿宋" w:cs="仿宋"/>
          <w:bCs/>
          <w:caps/>
          <w:sz w:val="24"/>
          <w:szCs w:val="24"/>
        </w:rPr>
        <w:fldChar w:fldCharType="separate"/>
      </w:r>
      <w:r>
        <w:rPr>
          <w:rFonts w:hint="eastAsia" w:ascii="仿宋" w:hAnsi="仿宋" w:eastAsia="仿宋" w:cs="仿宋"/>
          <w:i w:val="0"/>
          <w:sz w:val="24"/>
          <w:szCs w:val="24"/>
        </w:rPr>
        <w:t xml:space="preserve">第四章 </w:t>
      </w:r>
      <w:r>
        <w:rPr>
          <w:rFonts w:hint="eastAsia" w:ascii="仿宋" w:hAnsi="仿宋" w:eastAsia="仿宋" w:cs="仿宋"/>
          <w:sz w:val="24"/>
          <w:szCs w:val="24"/>
        </w:rPr>
        <w:t>资格审查方法及标准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_Toc7585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01461841">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_Toc7726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一、 资格审查</w:t>
      </w:r>
      <w:r>
        <w:rPr>
          <w:rFonts w:hint="eastAsia" w:ascii="仿宋" w:hAnsi="仿宋" w:eastAsia="仿宋" w:cs="仿宋"/>
          <w:sz w:val="24"/>
          <w:szCs w:val="24"/>
        </w:rPr>
        <w:t>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_Toc7726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3FF41A8F">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_Toc3930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二、 资格审查程序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_Toc3930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278C26A5">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_Toc19793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三、 资格审查</w:t>
      </w:r>
      <w:r>
        <w:rPr>
          <w:rFonts w:hint="eastAsia" w:ascii="仿宋" w:hAnsi="仿宋" w:eastAsia="仿宋" w:cs="仿宋"/>
          <w:sz w:val="24"/>
          <w:szCs w:val="24"/>
          <w:lang w:val="en-US" w:eastAsia="zh-CN"/>
        </w:rPr>
        <w:t>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_Toc19793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676B90B5">
      <w:pPr>
        <w:pStyle w:val="31"/>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_Toc24873 </w:instrText>
      </w:r>
      <w:r>
        <w:rPr>
          <w:rFonts w:hint="eastAsia" w:ascii="仿宋" w:hAnsi="仿宋" w:eastAsia="仿宋" w:cs="仿宋"/>
          <w:bCs/>
          <w:caps/>
          <w:sz w:val="24"/>
          <w:szCs w:val="24"/>
        </w:rPr>
        <w:fldChar w:fldCharType="separate"/>
      </w:r>
      <w:r>
        <w:rPr>
          <w:rFonts w:hint="eastAsia" w:ascii="仿宋" w:hAnsi="仿宋" w:eastAsia="仿宋" w:cs="仿宋"/>
          <w:i w:val="0"/>
          <w:sz w:val="24"/>
          <w:szCs w:val="24"/>
        </w:rPr>
        <w:t xml:space="preserve">第五章 </w:t>
      </w:r>
      <w:r>
        <w:rPr>
          <w:rFonts w:hint="eastAsia" w:ascii="仿宋" w:hAnsi="仿宋" w:eastAsia="仿宋" w:cs="仿宋"/>
          <w:sz w:val="24"/>
          <w:szCs w:val="24"/>
        </w:rPr>
        <w:t>评标办法及标准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_Toc24873 \h </w:instrText>
      </w:r>
      <w:r>
        <w:rPr>
          <w:rFonts w:hint="eastAsia" w:ascii="仿宋" w:hAnsi="仿宋" w:eastAsia="仿宋" w:cs="仿宋"/>
          <w:sz w:val="24"/>
          <w:szCs w:val="24"/>
        </w:rPr>
        <w:fldChar w:fldCharType="separate"/>
      </w:r>
      <w:r>
        <w:rPr>
          <w:rFonts w:hint="eastAsia" w:ascii="仿宋" w:hAnsi="仿宋" w:eastAsia="仿宋" w:cs="仿宋"/>
          <w:sz w:val="24"/>
          <w:szCs w:val="24"/>
        </w:rPr>
        <w:t>36</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1D7A8207">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_Toc30162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一、 评标办法前附表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_Toc30162 \h </w:instrText>
      </w:r>
      <w:r>
        <w:rPr>
          <w:rFonts w:hint="eastAsia" w:ascii="仿宋" w:hAnsi="仿宋" w:eastAsia="仿宋" w:cs="仿宋"/>
          <w:sz w:val="24"/>
          <w:szCs w:val="24"/>
        </w:rPr>
        <w:fldChar w:fldCharType="separate"/>
      </w:r>
      <w:r>
        <w:rPr>
          <w:rFonts w:hint="eastAsia" w:ascii="仿宋" w:hAnsi="仿宋" w:eastAsia="仿宋" w:cs="仿宋"/>
          <w:sz w:val="24"/>
          <w:szCs w:val="24"/>
        </w:rPr>
        <w:t>36</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7C30E71A">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_Toc23284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二、 评标程序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_Toc23284 \h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0089E92A">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_Toc18216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三、 评标标准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_Toc18216 \h </w:instrText>
      </w:r>
      <w:r>
        <w:rPr>
          <w:rFonts w:hint="eastAsia" w:ascii="仿宋" w:hAnsi="仿宋" w:eastAsia="仿宋" w:cs="仿宋"/>
          <w:sz w:val="24"/>
          <w:szCs w:val="24"/>
        </w:rPr>
        <w:fldChar w:fldCharType="separate"/>
      </w:r>
      <w:r>
        <w:rPr>
          <w:rFonts w:hint="eastAsia" w:ascii="仿宋" w:hAnsi="仿宋" w:eastAsia="仿宋" w:cs="仿宋"/>
          <w:sz w:val="24"/>
          <w:szCs w:val="24"/>
        </w:rPr>
        <w:t>41</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2F4ED036">
      <w:pPr>
        <w:pStyle w:val="31"/>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_Toc24813 </w:instrText>
      </w:r>
      <w:r>
        <w:rPr>
          <w:rFonts w:hint="eastAsia" w:ascii="仿宋" w:hAnsi="仿宋" w:eastAsia="仿宋" w:cs="仿宋"/>
          <w:bCs/>
          <w:caps/>
          <w:sz w:val="24"/>
          <w:szCs w:val="24"/>
        </w:rPr>
        <w:fldChar w:fldCharType="separate"/>
      </w:r>
      <w:r>
        <w:rPr>
          <w:rFonts w:hint="eastAsia" w:ascii="仿宋" w:hAnsi="仿宋" w:eastAsia="仿宋" w:cs="仿宋"/>
          <w:i w:val="0"/>
          <w:sz w:val="24"/>
          <w:szCs w:val="24"/>
        </w:rPr>
        <w:t xml:space="preserve">第六章 </w:t>
      </w:r>
      <w:r>
        <w:rPr>
          <w:rFonts w:hint="eastAsia" w:ascii="仿宋" w:hAnsi="仿宋" w:eastAsia="仿宋" w:cs="仿宋"/>
          <w:sz w:val="24"/>
          <w:szCs w:val="24"/>
          <w:highlight w:val="none"/>
        </w:rPr>
        <w:t>合同主要条款</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_Toc24813 \h </w:instrText>
      </w:r>
      <w:r>
        <w:rPr>
          <w:rFonts w:hint="eastAsia" w:ascii="仿宋" w:hAnsi="仿宋" w:eastAsia="仿宋" w:cs="仿宋"/>
          <w:sz w:val="24"/>
          <w:szCs w:val="24"/>
        </w:rPr>
        <w:fldChar w:fldCharType="separate"/>
      </w:r>
      <w:r>
        <w:rPr>
          <w:rFonts w:hint="eastAsia" w:ascii="仿宋" w:hAnsi="仿宋" w:eastAsia="仿宋" w:cs="仿宋"/>
          <w:sz w:val="24"/>
          <w:szCs w:val="24"/>
        </w:rPr>
        <w:t>46</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318A98F5">
      <w:pPr>
        <w:pStyle w:val="31"/>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_Toc9455 </w:instrText>
      </w:r>
      <w:r>
        <w:rPr>
          <w:rFonts w:hint="eastAsia" w:ascii="仿宋" w:hAnsi="仿宋" w:eastAsia="仿宋" w:cs="仿宋"/>
          <w:bCs/>
          <w:caps/>
          <w:sz w:val="24"/>
          <w:szCs w:val="24"/>
        </w:rPr>
        <w:fldChar w:fldCharType="separate"/>
      </w:r>
      <w:r>
        <w:rPr>
          <w:rFonts w:hint="eastAsia" w:ascii="仿宋" w:hAnsi="仿宋" w:eastAsia="仿宋" w:cs="仿宋"/>
          <w:i w:val="0"/>
          <w:sz w:val="24"/>
          <w:szCs w:val="24"/>
        </w:rPr>
        <w:t xml:space="preserve">第七章 </w:t>
      </w:r>
      <w:r>
        <w:rPr>
          <w:rFonts w:hint="eastAsia" w:ascii="仿宋" w:hAnsi="仿宋" w:eastAsia="仿宋" w:cs="仿宋"/>
          <w:sz w:val="24"/>
          <w:szCs w:val="24"/>
        </w:rPr>
        <w:t>投标文件</w:t>
      </w:r>
      <w:r>
        <w:rPr>
          <w:rFonts w:hint="eastAsia" w:ascii="仿宋" w:hAnsi="仿宋" w:eastAsia="仿宋" w:cs="仿宋"/>
          <w:sz w:val="24"/>
          <w:szCs w:val="24"/>
          <w:lang w:val="en-US" w:eastAsia="zh-CN"/>
        </w:rPr>
        <w:t>的</w:t>
      </w:r>
      <w:r>
        <w:rPr>
          <w:rFonts w:hint="eastAsia" w:ascii="仿宋" w:hAnsi="仿宋" w:eastAsia="仿宋" w:cs="仿宋"/>
          <w:sz w:val="24"/>
          <w:szCs w:val="24"/>
        </w:rPr>
        <w:t>格式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_Toc9455 \h </w:instrText>
      </w:r>
      <w:r>
        <w:rPr>
          <w:rFonts w:hint="eastAsia" w:ascii="仿宋" w:hAnsi="仿宋" w:eastAsia="仿宋" w:cs="仿宋"/>
          <w:sz w:val="24"/>
          <w:szCs w:val="24"/>
        </w:rPr>
        <w:fldChar w:fldCharType="separate"/>
      </w:r>
      <w:r>
        <w:rPr>
          <w:rFonts w:hint="eastAsia" w:ascii="仿宋" w:hAnsi="仿宋" w:eastAsia="仿宋" w:cs="仿宋"/>
          <w:sz w:val="24"/>
          <w:szCs w:val="24"/>
        </w:rPr>
        <w:t>50</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2814DFE4">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_Toc24492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一、 投标函及报价文件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_Toc24492 \h </w:instrText>
      </w:r>
      <w:r>
        <w:rPr>
          <w:rFonts w:hint="eastAsia" w:ascii="仿宋" w:hAnsi="仿宋" w:eastAsia="仿宋" w:cs="仿宋"/>
          <w:sz w:val="24"/>
          <w:szCs w:val="24"/>
        </w:rPr>
        <w:fldChar w:fldCharType="separate"/>
      </w:r>
      <w:r>
        <w:rPr>
          <w:rFonts w:hint="eastAsia" w:ascii="仿宋" w:hAnsi="仿宋" w:eastAsia="仿宋" w:cs="仿宋"/>
          <w:sz w:val="24"/>
          <w:szCs w:val="24"/>
        </w:rPr>
        <w:t>51</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1F342113">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_Toc11035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一</w:t>
      </w:r>
      <w:r>
        <w:rPr>
          <w:rFonts w:hint="eastAsia" w:ascii="仿宋" w:hAnsi="仿宋" w:eastAsia="仿宋" w:cs="仿宋"/>
          <w:sz w:val="24"/>
          <w:szCs w:val="24"/>
          <w:lang w:val="zh-CN"/>
        </w:rPr>
        <w:t>）投标函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_Toc11035 \h </w:instrText>
      </w:r>
      <w:r>
        <w:rPr>
          <w:rFonts w:hint="eastAsia" w:ascii="仿宋" w:hAnsi="仿宋" w:eastAsia="仿宋" w:cs="仿宋"/>
          <w:sz w:val="24"/>
          <w:szCs w:val="24"/>
        </w:rPr>
        <w:fldChar w:fldCharType="separate"/>
      </w:r>
      <w:r>
        <w:rPr>
          <w:rFonts w:hint="eastAsia" w:ascii="仿宋" w:hAnsi="仿宋" w:eastAsia="仿宋" w:cs="仿宋"/>
          <w:sz w:val="24"/>
          <w:szCs w:val="24"/>
        </w:rPr>
        <w:t>52</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5C0B3C36">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_Toc26124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二</w:t>
      </w:r>
      <w:r>
        <w:rPr>
          <w:rFonts w:hint="eastAsia" w:ascii="仿宋" w:hAnsi="仿宋" w:eastAsia="仿宋" w:cs="仿宋"/>
          <w:sz w:val="24"/>
          <w:szCs w:val="24"/>
          <w:lang w:val="zh-CN"/>
        </w:rPr>
        <w:t>）投标一览表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_Toc26124 \h </w:instrText>
      </w:r>
      <w:r>
        <w:rPr>
          <w:rFonts w:hint="eastAsia" w:ascii="仿宋" w:hAnsi="仿宋" w:eastAsia="仿宋" w:cs="仿宋"/>
          <w:sz w:val="24"/>
          <w:szCs w:val="24"/>
        </w:rPr>
        <w:fldChar w:fldCharType="separate"/>
      </w:r>
      <w:r>
        <w:rPr>
          <w:rFonts w:hint="eastAsia" w:ascii="仿宋" w:hAnsi="仿宋" w:eastAsia="仿宋" w:cs="仿宋"/>
          <w:sz w:val="24"/>
          <w:szCs w:val="24"/>
        </w:rPr>
        <w:t>54</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069930DD">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_Toc17097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三</w:t>
      </w:r>
      <w:r>
        <w:rPr>
          <w:rFonts w:hint="eastAsia" w:ascii="仿宋" w:hAnsi="仿宋" w:eastAsia="仿宋" w:cs="仿宋"/>
          <w:sz w:val="24"/>
          <w:szCs w:val="24"/>
          <w:lang w:val="zh-CN"/>
        </w:rPr>
        <w:t>）法定代表人（负责人）身份证明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_Toc17097 \h </w:instrText>
      </w:r>
      <w:r>
        <w:rPr>
          <w:rFonts w:hint="eastAsia" w:ascii="仿宋" w:hAnsi="仿宋" w:eastAsia="仿宋" w:cs="仿宋"/>
          <w:sz w:val="24"/>
          <w:szCs w:val="24"/>
        </w:rPr>
        <w:fldChar w:fldCharType="separate"/>
      </w:r>
      <w:r>
        <w:rPr>
          <w:rFonts w:hint="eastAsia" w:ascii="仿宋" w:hAnsi="仿宋" w:eastAsia="仿宋" w:cs="仿宋"/>
          <w:sz w:val="24"/>
          <w:szCs w:val="24"/>
        </w:rPr>
        <w:t>55</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3CC4E2EE">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_Toc3230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四</w:t>
      </w:r>
      <w:r>
        <w:rPr>
          <w:rFonts w:hint="eastAsia" w:ascii="仿宋" w:hAnsi="仿宋" w:eastAsia="仿宋" w:cs="仿宋"/>
          <w:sz w:val="24"/>
          <w:szCs w:val="24"/>
          <w:lang w:val="zh-CN"/>
        </w:rPr>
        <w:t>）法定代表人（负责人）授权书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_Toc3230 \h </w:instrText>
      </w:r>
      <w:r>
        <w:rPr>
          <w:rFonts w:hint="eastAsia" w:ascii="仿宋" w:hAnsi="仿宋" w:eastAsia="仿宋" w:cs="仿宋"/>
          <w:sz w:val="24"/>
          <w:szCs w:val="24"/>
        </w:rPr>
        <w:fldChar w:fldCharType="separate"/>
      </w:r>
      <w:r>
        <w:rPr>
          <w:rFonts w:hint="eastAsia" w:ascii="仿宋" w:hAnsi="仿宋" w:eastAsia="仿宋" w:cs="仿宋"/>
          <w:sz w:val="24"/>
          <w:szCs w:val="24"/>
        </w:rPr>
        <w:t>56</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15BE7CBD">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_Toc27700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 xml:space="preserve">二、 </w:t>
      </w:r>
      <w:r>
        <w:rPr>
          <w:rFonts w:hint="eastAsia" w:ascii="仿宋" w:hAnsi="仿宋" w:eastAsia="仿宋" w:cs="仿宋"/>
          <w:sz w:val="24"/>
          <w:szCs w:val="24"/>
          <w:lang w:val="en-US" w:eastAsia="zh-CN"/>
        </w:rPr>
        <w:t>资格证明文件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_Toc27700 \h </w:instrText>
      </w:r>
      <w:r>
        <w:rPr>
          <w:rFonts w:hint="eastAsia" w:ascii="仿宋" w:hAnsi="仿宋" w:eastAsia="仿宋" w:cs="仿宋"/>
          <w:sz w:val="24"/>
          <w:szCs w:val="24"/>
        </w:rPr>
        <w:fldChar w:fldCharType="separate"/>
      </w:r>
      <w:r>
        <w:rPr>
          <w:rFonts w:hint="eastAsia" w:ascii="仿宋" w:hAnsi="仿宋" w:eastAsia="仿宋" w:cs="仿宋"/>
          <w:sz w:val="24"/>
          <w:szCs w:val="24"/>
        </w:rPr>
        <w:t>57</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44BF0FEB">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_Toc30880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一</w:t>
      </w:r>
      <w:r>
        <w:rPr>
          <w:rFonts w:hint="eastAsia" w:ascii="仿宋" w:hAnsi="仿宋" w:eastAsia="仿宋" w:cs="仿宋"/>
          <w:sz w:val="24"/>
          <w:szCs w:val="24"/>
          <w:lang w:val="zh-CN"/>
        </w:rPr>
        <w:t>）企业法人营业执照、事业单位法人证书或团体组织法人证书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_Toc30880 \h </w:instrText>
      </w:r>
      <w:r>
        <w:rPr>
          <w:rFonts w:hint="eastAsia" w:ascii="仿宋" w:hAnsi="仿宋" w:eastAsia="仿宋" w:cs="仿宋"/>
          <w:sz w:val="24"/>
          <w:szCs w:val="24"/>
        </w:rPr>
        <w:fldChar w:fldCharType="separate"/>
      </w:r>
      <w:r>
        <w:rPr>
          <w:rFonts w:hint="eastAsia" w:ascii="仿宋" w:hAnsi="仿宋" w:eastAsia="仿宋" w:cs="仿宋"/>
          <w:sz w:val="24"/>
          <w:szCs w:val="24"/>
        </w:rPr>
        <w:t>58</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2ED4134C">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_Toc27266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二</w:t>
      </w:r>
      <w:r>
        <w:rPr>
          <w:rFonts w:hint="eastAsia" w:ascii="仿宋" w:hAnsi="仿宋" w:eastAsia="仿宋" w:cs="仿宋"/>
          <w:sz w:val="24"/>
          <w:szCs w:val="24"/>
          <w:lang w:val="zh-CN"/>
        </w:rPr>
        <w:t>）资格条件承诺书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_Toc27266 \h </w:instrText>
      </w:r>
      <w:r>
        <w:rPr>
          <w:rFonts w:hint="eastAsia" w:ascii="仿宋" w:hAnsi="仿宋" w:eastAsia="仿宋" w:cs="仿宋"/>
          <w:sz w:val="24"/>
          <w:szCs w:val="24"/>
        </w:rPr>
        <w:fldChar w:fldCharType="separate"/>
      </w:r>
      <w:r>
        <w:rPr>
          <w:rFonts w:hint="eastAsia" w:ascii="仿宋" w:hAnsi="仿宋" w:eastAsia="仿宋" w:cs="仿宋"/>
          <w:sz w:val="24"/>
          <w:szCs w:val="24"/>
        </w:rPr>
        <w:t>58</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6CCA2A64">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_Toc17758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三</w:t>
      </w:r>
      <w:r>
        <w:rPr>
          <w:rFonts w:hint="eastAsia" w:ascii="仿宋" w:hAnsi="仿宋" w:eastAsia="仿宋" w:cs="仿宋"/>
          <w:sz w:val="24"/>
          <w:szCs w:val="24"/>
          <w:lang w:val="zh-CN"/>
        </w:rPr>
        <w:t>）资格证明文件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_Toc17758 \h </w:instrText>
      </w:r>
      <w:r>
        <w:rPr>
          <w:rFonts w:hint="eastAsia" w:ascii="仿宋" w:hAnsi="仿宋" w:eastAsia="仿宋" w:cs="仿宋"/>
          <w:sz w:val="24"/>
          <w:szCs w:val="24"/>
        </w:rPr>
        <w:fldChar w:fldCharType="separate"/>
      </w:r>
      <w:r>
        <w:rPr>
          <w:rFonts w:hint="eastAsia" w:ascii="仿宋" w:hAnsi="仿宋" w:eastAsia="仿宋" w:cs="仿宋"/>
          <w:sz w:val="24"/>
          <w:szCs w:val="24"/>
        </w:rPr>
        <w:t>59</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1BFE1E12">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_Toc371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四</w:t>
      </w:r>
      <w:r>
        <w:rPr>
          <w:rFonts w:hint="eastAsia" w:ascii="仿宋" w:hAnsi="仿宋" w:eastAsia="仿宋" w:cs="仿宋"/>
          <w:sz w:val="24"/>
          <w:szCs w:val="24"/>
          <w:lang w:val="zh-CN"/>
        </w:rPr>
        <w:t>）其他资格证明文件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_Toc371 \h </w:instrText>
      </w:r>
      <w:r>
        <w:rPr>
          <w:rFonts w:hint="eastAsia" w:ascii="仿宋" w:hAnsi="仿宋" w:eastAsia="仿宋" w:cs="仿宋"/>
          <w:sz w:val="24"/>
          <w:szCs w:val="24"/>
        </w:rPr>
        <w:fldChar w:fldCharType="separate"/>
      </w:r>
      <w:r>
        <w:rPr>
          <w:rFonts w:hint="eastAsia" w:ascii="仿宋" w:hAnsi="仿宋" w:eastAsia="仿宋" w:cs="仿宋"/>
          <w:sz w:val="24"/>
          <w:szCs w:val="24"/>
        </w:rPr>
        <w:t>60</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65F1664E">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_Toc3237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 xml:space="preserve">三、 </w:t>
      </w:r>
      <w:r>
        <w:rPr>
          <w:rFonts w:hint="eastAsia" w:ascii="仿宋" w:hAnsi="仿宋" w:eastAsia="仿宋" w:cs="仿宋"/>
          <w:sz w:val="24"/>
          <w:szCs w:val="24"/>
          <w:lang w:val="en-US" w:eastAsia="zh-CN"/>
        </w:rPr>
        <w:t>其他响应文件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_Toc3237 \h </w:instrText>
      </w:r>
      <w:r>
        <w:rPr>
          <w:rFonts w:hint="eastAsia" w:ascii="仿宋" w:hAnsi="仿宋" w:eastAsia="仿宋" w:cs="仿宋"/>
          <w:sz w:val="24"/>
          <w:szCs w:val="24"/>
        </w:rPr>
        <w:fldChar w:fldCharType="separate"/>
      </w:r>
      <w:r>
        <w:rPr>
          <w:rFonts w:hint="eastAsia" w:ascii="仿宋" w:hAnsi="仿宋" w:eastAsia="仿宋" w:cs="仿宋"/>
          <w:sz w:val="24"/>
          <w:szCs w:val="24"/>
        </w:rPr>
        <w:t>61</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08A17ADB">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_Toc31856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一</w:t>
      </w:r>
      <w:r>
        <w:rPr>
          <w:rFonts w:hint="eastAsia" w:ascii="仿宋" w:hAnsi="仿宋" w:eastAsia="仿宋" w:cs="仿宋"/>
          <w:sz w:val="24"/>
          <w:szCs w:val="24"/>
          <w:lang w:val="zh-CN"/>
        </w:rPr>
        <w:t>）商务部分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_Toc31856 \h </w:instrText>
      </w:r>
      <w:r>
        <w:rPr>
          <w:rFonts w:hint="eastAsia" w:ascii="仿宋" w:hAnsi="仿宋" w:eastAsia="仿宋" w:cs="仿宋"/>
          <w:sz w:val="24"/>
          <w:szCs w:val="24"/>
        </w:rPr>
        <w:fldChar w:fldCharType="separate"/>
      </w:r>
      <w:r>
        <w:rPr>
          <w:rFonts w:hint="eastAsia" w:ascii="仿宋" w:hAnsi="仿宋" w:eastAsia="仿宋" w:cs="仿宋"/>
          <w:sz w:val="24"/>
          <w:szCs w:val="24"/>
        </w:rPr>
        <w:t>62</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21F97A05">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_Toc18912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1.</w:t>
      </w:r>
      <w:r>
        <w:rPr>
          <w:rFonts w:hint="eastAsia" w:ascii="仿宋" w:hAnsi="仿宋" w:eastAsia="仿宋" w:cs="仿宋"/>
          <w:sz w:val="24"/>
          <w:szCs w:val="24"/>
          <w:lang w:val="zh-CN"/>
        </w:rPr>
        <w:t>商务响应偏离表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_Toc18912 \h </w:instrText>
      </w:r>
      <w:r>
        <w:rPr>
          <w:rFonts w:hint="eastAsia" w:ascii="仿宋" w:hAnsi="仿宋" w:eastAsia="仿宋" w:cs="仿宋"/>
          <w:sz w:val="24"/>
          <w:szCs w:val="24"/>
        </w:rPr>
        <w:fldChar w:fldCharType="separate"/>
      </w:r>
      <w:r>
        <w:rPr>
          <w:rFonts w:hint="eastAsia" w:ascii="仿宋" w:hAnsi="仿宋" w:eastAsia="仿宋" w:cs="仿宋"/>
          <w:sz w:val="24"/>
          <w:szCs w:val="24"/>
        </w:rPr>
        <w:t>62</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1F56EE1D">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_Toc22602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2.业绩证明文件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_Toc22602 \h </w:instrText>
      </w:r>
      <w:r>
        <w:rPr>
          <w:rFonts w:hint="eastAsia" w:ascii="仿宋" w:hAnsi="仿宋" w:eastAsia="仿宋" w:cs="仿宋"/>
          <w:sz w:val="24"/>
          <w:szCs w:val="24"/>
        </w:rPr>
        <w:fldChar w:fldCharType="separate"/>
      </w:r>
      <w:r>
        <w:rPr>
          <w:rFonts w:hint="eastAsia" w:ascii="仿宋" w:hAnsi="仿宋" w:eastAsia="仿宋" w:cs="仿宋"/>
          <w:sz w:val="24"/>
          <w:szCs w:val="24"/>
        </w:rPr>
        <w:t>63</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672806A1">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_Toc8521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3.拟派项目团队</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_Toc8521 \h </w:instrText>
      </w:r>
      <w:r>
        <w:rPr>
          <w:rFonts w:hint="eastAsia" w:ascii="仿宋" w:hAnsi="仿宋" w:eastAsia="仿宋" w:cs="仿宋"/>
          <w:sz w:val="24"/>
          <w:szCs w:val="24"/>
        </w:rPr>
        <w:fldChar w:fldCharType="separate"/>
      </w:r>
      <w:r>
        <w:rPr>
          <w:rFonts w:hint="eastAsia" w:ascii="仿宋" w:hAnsi="仿宋" w:eastAsia="仿宋" w:cs="仿宋"/>
          <w:sz w:val="24"/>
          <w:szCs w:val="24"/>
        </w:rPr>
        <w:t>64</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72A57D8B">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_Toc12645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4.其他商务文件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_Toc12645 \h </w:instrText>
      </w:r>
      <w:r>
        <w:rPr>
          <w:rFonts w:hint="eastAsia" w:ascii="仿宋" w:hAnsi="仿宋" w:eastAsia="仿宋" w:cs="仿宋"/>
          <w:sz w:val="24"/>
          <w:szCs w:val="24"/>
        </w:rPr>
        <w:fldChar w:fldCharType="separate"/>
      </w:r>
      <w:r>
        <w:rPr>
          <w:rFonts w:hint="eastAsia" w:ascii="仿宋" w:hAnsi="仿宋" w:eastAsia="仿宋" w:cs="仿宋"/>
          <w:sz w:val="24"/>
          <w:szCs w:val="24"/>
        </w:rPr>
        <w:t>65</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57EA6C5F">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_Toc16388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二</w:t>
      </w:r>
      <w:r>
        <w:rPr>
          <w:rFonts w:hint="eastAsia" w:ascii="仿宋" w:hAnsi="仿宋" w:eastAsia="仿宋" w:cs="仿宋"/>
          <w:sz w:val="24"/>
          <w:szCs w:val="24"/>
          <w:lang w:val="zh-CN"/>
        </w:rPr>
        <w:t>）技术部分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_Toc16388 \h </w:instrText>
      </w:r>
      <w:r>
        <w:rPr>
          <w:rFonts w:hint="eastAsia" w:ascii="仿宋" w:hAnsi="仿宋" w:eastAsia="仿宋" w:cs="仿宋"/>
          <w:sz w:val="24"/>
          <w:szCs w:val="24"/>
        </w:rPr>
        <w:fldChar w:fldCharType="separate"/>
      </w:r>
      <w:r>
        <w:rPr>
          <w:rFonts w:hint="eastAsia" w:ascii="仿宋" w:hAnsi="仿宋" w:eastAsia="仿宋" w:cs="仿宋"/>
          <w:sz w:val="24"/>
          <w:szCs w:val="24"/>
        </w:rPr>
        <w:t>66</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13035B0D">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_Toc18817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1.</w:t>
      </w:r>
      <w:r>
        <w:rPr>
          <w:rFonts w:hint="eastAsia" w:ascii="仿宋" w:hAnsi="仿宋" w:eastAsia="仿宋" w:cs="仿宋"/>
          <w:sz w:val="24"/>
          <w:szCs w:val="24"/>
          <w:lang w:val="zh-CN"/>
        </w:rPr>
        <w:t>技术响应偏离表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_Toc18817 \h </w:instrText>
      </w:r>
      <w:r>
        <w:rPr>
          <w:rFonts w:hint="eastAsia" w:ascii="仿宋" w:hAnsi="仿宋" w:eastAsia="仿宋" w:cs="仿宋"/>
          <w:sz w:val="24"/>
          <w:szCs w:val="24"/>
        </w:rPr>
        <w:fldChar w:fldCharType="separate"/>
      </w:r>
      <w:r>
        <w:rPr>
          <w:rFonts w:hint="eastAsia" w:ascii="仿宋" w:hAnsi="仿宋" w:eastAsia="仿宋" w:cs="仿宋"/>
          <w:sz w:val="24"/>
          <w:szCs w:val="24"/>
        </w:rPr>
        <w:t>66</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0C1DBC47">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_Toc29970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2.技术方案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_Toc29970 \h </w:instrText>
      </w:r>
      <w:r>
        <w:rPr>
          <w:rFonts w:hint="eastAsia" w:ascii="仿宋" w:hAnsi="仿宋" w:eastAsia="仿宋" w:cs="仿宋"/>
          <w:sz w:val="24"/>
          <w:szCs w:val="24"/>
        </w:rPr>
        <w:fldChar w:fldCharType="separate"/>
      </w:r>
      <w:r>
        <w:rPr>
          <w:rFonts w:hint="eastAsia" w:ascii="仿宋" w:hAnsi="仿宋" w:eastAsia="仿宋" w:cs="仿宋"/>
          <w:sz w:val="24"/>
          <w:szCs w:val="24"/>
        </w:rPr>
        <w:t>67</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56577A13">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_Toc30533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3.其他技术文件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_Toc30533 \h </w:instrText>
      </w:r>
      <w:r>
        <w:rPr>
          <w:rFonts w:hint="eastAsia" w:ascii="仿宋" w:hAnsi="仿宋" w:eastAsia="仿宋" w:cs="仿宋"/>
          <w:sz w:val="24"/>
          <w:szCs w:val="24"/>
        </w:rPr>
        <w:fldChar w:fldCharType="separate"/>
      </w:r>
      <w:r>
        <w:rPr>
          <w:rFonts w:hint="eastAsia" w:ascii="仿宋" w:hAnsi="仿宋" w:eastAsia="仿宋" w:cs="仿宋"/>
          <w:sz w:val="24"/>
          <w:szCs w:val="24"/>
        </w:rPr>
        <w:t>68</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3EB0B698">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_Toc2856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zh-CN"/>
        </w:rPr>
        <w:t>（</w:t>
      </w:r>
      <w:r>
        <w:rPr>
          <w:rFonts w:hint="eastAsia" w:ascii="仿宋" w:hAnsi="仿宋" w:eastAsia="仿宋" w:cs="仿宋"/>
          <w:sz w:val="24"/>
          <w:szCs w:val="24"/>
          <w:lang w:val="en-US" w:eastAsia="zh-CN"/>
        </w:rPr>
        <w:t>三</w:t>
      </w:r>
      <w:r>
        <w:rPr>
          <w:rFonts w:hint="eastAsia" w:ascii="仿宋" w:hAnsi="仿宋" w:eastAsia="仿宋" w:cs="仿宋"/>
          <w:sz w:val="24"/>
          <w:szCs w:val="24"/>
          <w:lang w:val="zh-CN"/>
        </w:rPr>
        <w:t>）落实政府采购政策相关证明文件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_Toc2856 \h </w:instrText>
      </w:r>
      <w:r>
        <w:rPr>
          <w:rFonts w:hint="eastAsia" w:ascii="仿宋" w:hAnsi="仿宋" w:eastAsia="仿宋" w:cs="仿宋"/>
          <w:sz w:val="24"/>
          <w:szCs w:val="24"/>
        </w:rPr>
        <w:fldChar w:fldCharType="separate"/>
      </w:r>
      <w:r>
        <w:rPr>
          <w:rFonts w:hint="eastAsia" w:ascii="仿宋" w:hAnsi="仿宋" w:eastAsia="仿宋" w:cs="仿宋"/>
          <w:sz w:val="24"/>
          <w:szCs w:val="24"/>
        </w:rPr>
        <w:t>69</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4769F073">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_Toc5305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1.</w:t>
      </w:r>
      <w:r>
        <w:rPr>
          <w:rFonts w:hint="eastAsia" w:ascii="仿宋" w:hAnsi="仿宋" w:eastAsia="仿宋" w:cs="仿宋"/>
          <w:sz w:val="24"/>
          <w:szCs w:val="24"/>
          <w:lang w:val="zh-CN"/>
        </w:rPr>
        <w:t>节能环保产品清单及证明材料【如适用】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_Toc5305 \h </w:instrText>
      </w:r>
      <w:r>
        <w:rPr>
          <w:rFonts w:hint="eastAsia" w:ascii="仿宋" w:hAnsi="仿宋" w:eastAsia="仿宋" w:cs="仿宋"/>
          <w:sz w:val="24"/>
          <w:szCs w:val="24"/>
        </w:rPr>
        <w:fldChar w:fldCharType="separate"/>
      </w:r>
      <w:r>
        <w:rPr>
          <w:rFonts w:hint="eastAsia" w:ascii="仿宋" w:hAnsi="仿宋" w:eastAsia="仿宋" w:cs="仿宋"/>
          <w:sz w:val="24"/>
          <w:szCs w:val="24"/>
        </w:rPr>
        <w:t>69</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4A802630">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_Toc10829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2.中小企业声明函</w:t>
      </w:r>
      <w:r>
        <w:rPr>
          <w:rFonts w:hint="eastAsia" w:ascii="仿宋" w:hAnsi="仿宋" w:eastAsia="仿宋" w:cs="仿宋"/>
          <w:sz w:val="24"/>
          <w:szCs w:val="24"/>
          <w:lang w:val="zh-CN"/>
        </w:rPr>
        <w:t>【如适用】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_Toc10829 \h </w:instrText>
      </w:r>
      <w:r>
        <w:rPr>
          <w:rFonts w:hint="eastAsia" w:ascii="仿宋" w:hAnsi="仿宋" w:eastAsia="仿宋" w:cs="仿宋"/>
          <w:sz w:val="24"/>
          <w:szCs w:val="24"/>
        </w:rPr>
        <w:fldChar w:fldCharType="separate"/>
      </w:r>
      <w:r>
        <w:rPr>
          <w:rFonts w:hint="eastAsia" w:ascii="仿宋" w:hAnsi="仿宋" w:eastAsia="仿宋" w:cs="仿宋"/>
          <w:sz w:val="24"/>
          <w:szCs w:val="24"/>
        </w:rPr>
        <w:t>70</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1A9C132C">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_Toc3302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3.监狱企业证明文件【如适用】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_Toc3302 \h </w:instrText>
      </w:r>
      <w:r>
        <w:rPr>
          <w:rFonts w:hint="eastAsia" w:ascii="仿宋" w:hAnsi="仿宋" w:eastAsia="仿宋" w:cs="仿宋"/>
          <w:sz w:val="24"/>
          <w:szCs w:val="24"/>
        </w:rPr>
        <w:fldChar w:fldCharType="separate"/>
      </w:r>
      <w:r>
        <w:rPr>
          <w:rFonts w:hint="eastAsia" w:ascii="仿宋" w:hAnsi="仿宋" w:eastAsia="仿宋" w:cs="仿宋"/>
          <w:sz w:val="24"/>
          <w:szCs w:val="24"/>
        </w:rPr>
        <w:t>71</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3EF45F21">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_Toc3211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4.残疾人福利性单位声明函【如适用】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_Toc3211 \h </w:instrText>
      </w:r>
      <w:r>
        <w:rPr>
          <w:rFonts w:hint="eastAsia" w:ascii="仿宋" w:hAnsi="仿宋" w:eastAsia="仿宋" w:cs="仿宋"/>
          <w:sz w:val="24"/>
          <w:szCs w:val="24"/>
        </w:rPr>
        <w:fldChar w:fldCharType="separate"/>
      </w:r>
      <w:r>
        <w:rPr>
          <w:rFonts w:hint="eastAsia" w:ascii="仿宋" w:hAnsi="仿宋" w:eastAsia="仿宋" w:cs="仿宋"/>
          <w:sz w:val="24"/>
          <w:szCs w:val="24"/>
        </w:rPr>
        <w:t>72</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00582167">
      <w:pPr>
        <w:pStyle w:val="39"/>
        <w:keepNext w:val="0"/>
        <w:keepLines w:val="0"/>
        <w:pageBreakBefore w:val="0"/>
        <w:widowControl w:val="0"/>
        <w:tabs>
          <w:tab w:val="right" w:leader="dot" w:pos="8307"/>
        </w:tabs>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begin"/>
      </w:r>
      <w:r>
        <w:rPr>
          <w:rFonts w:hint="eastAsia" w:ascii="仿宋" w:hAnsi="仿宋" w:eastAsia="仿宋" w:cs="仿宋"/>
          <w:bCs/>
          <w:caps/>
          <w:sz w:val="24"/>
          <w:szCs w:val="24"/>
        </w:rPr>
        <w:instrText xml:space="preserve"> HYPERLINK \l _Toc8959 </w:instrText>
      </w:r>
      <w:r>
        <w:rPr>
          <w:rFonts w:hint="eastAsia" w:ascii="仿宋" w:hAnsi="仿宋" w:eastAsia="仿宋" w:cs="仿宋"/>
          <w:bCs/>
          <w:caps/>
          <w:sz w:val="24"/>
          <w:szCs w:val="24"/>
        </w:rPr>
        <w:fldChar w:fldCharType="separate"/>
      </w:r>
      <w:r>
        <w:rPr>
          <w:rFonts w:hint="eastAsia" w:ascii="仿宋" w:hAnsi="仿宋" w:eastAsia="仿宋" w:cs="仿宋"/>
          <w:sz w:val="24"/>
          <w:szCs w:val="24"/>
          <w:lang w:val="en-US" w:eastAsia="zh-CN"/>
        </w:rPr>
        <w:t>5.投标人认为需要提供的其他资料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_Toc8959 \h </w:instrText>
      </w:r>
      <w:r>
        <w:rPr>
          <w:rFonts w:hint="eastAsia" w:ascii="仿宋" w:hAnsi="仿宋" w:eastAsia="仿宋" w:cs="仿宋"/>
          <w:sz w:val="24"/>
          <w:szCs w:val="24"/>
        </w:rPr>
        <w:fldChar w:fldCharType="separate"/>
      </w:r>
      <w:r>
        <w:rPr>
          <w:rFonts w:hint="eastAsia" w:ascii="仿宋" w:hAnsi="仿宋" w:eastAsia="仿宋" w:cs="仿宋"/>
          <w:sz w:val="24"/>
          <w:szCs w:val="24"/>
        </w:rPr>
        <w:t>74</w:t>
      </w:r>
      <w:r>
        <w:rPr>
          <w:rFonts w:hint="eastAsia" w:ascii="仿宋" w:hAnsi="仿宋" w:eastAsia="仿宋" w:cs="仿宋"/>
          <w:sz w:val="24"/>
          <w:szCs w:val="24"/>
        </w:rPr>
        <w:fldChar w:fldCharType="end"/>
      </w:r>
      <w:r>
        <w:rPr>
          <w:rFonts w:hint="eastAsia" w:ascii="仿宋" w:hAnsi="仿宋" w:eastAsia="仿宋" w:cs="仿宋"/>
          <w:bCs/>
          <w:caps/>
          <w:color w:val="000000"/>
          <w:sz w:val="24"/>
          <w:szCs w:val="24"/>
        </w:rPr>
        <w:fldChar w:fldCharType="end"/>
      </w:r>
    </w:p>
    <w:p w14:paraId="15E58F75">
      <w:pPr>
        <w:keepNext w:val="0"/>
        <w:keepLines w:val="0"/>
        <w:pageBreakBefore w:val="0"/>
        <w:widowControl w:val="0"/>
        <w:kinsoku/>
        <w:wordWrap/>
        <w:overflowPunct/>
        <w:topLinePunct w:val="0"/>
        <w:autoSpaceDE/>
        <w:autoSpaceDN/>
        <w:bidi w:val="0"/>
        <w:adjustRightInd/>
        <w:snapToGrid/>
        <w:spacing w:line="360" w:lineRule="auto"/>
        <w:ind w:left="0" w:leftChars="0" w:right="126" w:rightChars="60" w:firstLine="0" w:firstLineChars="0"/>
        <w:jc w:val="both"/>
        <w:textAlignment w:val="auto"/>
        <w:rPr>
          <w:rFonts w:hint="eastAsia" w:ascii="仿宋" w:hAnsi="仿宋" w:eastAsia="仿宋" w:cs="仿宋"/>
          <w:sz w:val="24"/>
          <w:szCs w:val="24"/>
        </w:rPr>
      </w:pPr>
      <w:r>
        <w:rPr>
          <w:rFonts w:hint="eastAsia" w:ascii="仿宋" w:hAnsi="仿宋" w:eastAsia="仿宋" w:cs="仿宋"/>
          <w:bCs/>
          <w:caps/>
          <w:color w:val="000000"/>
          <w:sz w:val="24"/>
          <w:szCs w:val="24"/>
        </w:rPr>
        <w:fldChar w:fldCharType="end"/>
      </w:r>
    </w:p>
    <w:p w14:paraId="2A536B84">
      <w:pPr>
        <w:rPr>
          <w:rFonts w:hint="eastAsia" w:ascii="黑体" w:hAnsi="黑体" w:eastAsia="黑体" w:cs="黑体"/>
          <w:color w:val="000000"/>
          <w:sz w:val="32"/>
          <w:szCs w:val="32"/>
        </w:rPr>
        <w:sectPr>
          <w:headerReference r:id="rId7" w:type="first"/>
          <w:footerReference r:id="rId9" w:type="first"/>
          <w:headerReference r:id="rId6" w:type="default"/>
          <w:footerReference r:id="rId8" w:type="default"/>
          <w:pgSz w:w="11907" w:h="16840"/>
          <w:pgMar w:top="1440" w:right="1800" w:bottom="1440" w:left="1800" w:header="851" w:footer="992" w:gutter="0"/>
          <w:cols w:space="0" w:num="1"/>
          <w:titlePg/>
          <w:rtlGutter w:val="0"/>
          <w:docGrid w:type="lines" w:linePitch="319" w:charSpace="0"/>
        </w:sectPr>
      </w:pPr>
      <w:bookmarkStart w:id="0" w:name="_Toc12665"/>
    </w:p>
    <w:p w14:paraId="6EE758D6">
      <w:pPr>
        <w:pStyle w:val="2"/>
        <w:pageBreakBefore w:val="0"/>
        <w:numPr>
          <w:ilvl w:val="0"/>
          <w:numId w:val="4"/>
        </w:numPr>
        <w:kinsoku/>
        <w:wordWrap/>
        <w:overflowPunct/>
        <w:topLinePunct w:val="0"/>
        <w:bidi w:val="0"/>
        <w:snapToGrid/>
        <w:spacing w:before="120" w:after="120" w:line="300" w:lineRule="auto"/>
        <w:textAlignment w:val="auto"/>
        <w:rPr>
          <w:rFonts w:hint="eastAsia" w:ascii="黑体" w:hAnsi="黑体" w:eastAsia="黑体" w:cs="黑体"/>
          <w:color w:val="000000"/>
          <w:sz w:val="32"/>
          <w:szCs w:val="32"/>
        </w:rPr>
      </w:pPr>
      <w:bookmarkStart w:id="1" w:name="_Toc29517"/>
      <w:r>
        <w:rPr>
          <w:rFonts w:hint="eastAsia" w:ascii="黑体" w:hAnsi="黑体" w:eastAsia="黑体" w:cs="黑体"/>
          <w:color w:val="000000"/>
          <w:sz w:val="32"/>
          <w:szCs w:val="32"/>
        </w:rPr>
        <w:t>投标邀请</w:t>
      </w:r>
      <w:bookmarkEnd w:id="0"/>
      <w:bookmarkEnd w:id="1"/>
    </w:p>
    <w:p w14:paraId="0FDA2703">
      <w:pPr>
        <w:pStyle w:val="3"/>
        <w:keepNext/>
        <w:keepLines/>
        <w:pageBreakBefore w:val="0"/>
        <w:widowControl w:val="0"/>
        <w:kinsoku/>
        <w:wordWrap/>
        <w:overflowPunct/>
        <w:topLinePunct w:val="0"/>
        <w:autoSpaceDE/>
        <w:autoSpaceDN/>
        <w:bidi w:val="0"/>
        <w:adjustRightInd/>
        <w:snapToGrid/>
        <w:spacing w:before="157" w:beforeLines="50" w:after="0" w:line="360" w:lineRule="auto"/>
        <w:ind w:firstLine="482" w:firstLineChars="200"/>
        <w:textAlignment w:val="auto"/>
        <w:rPr>
          <w:rFonts w:hint="eastAsia" w:ascii="仿宋" w:hAnsi="仿宋" w:eastAsia="仿宋" w:cs="仿宋"/>
          <w:color w:val="auto"/>
          <w:sz w:val="24"/>
          <w:szCs w:val="24"/>
          <w:lang w:val="en-US" w:eastAsia="zh-CN"/>
        </w:rPr>
      </w:pPr>
      <w:bookmarkStart w:id="2" w:name="_Toc5608"/>
      <w:r>
        <w:rPr>
          <w:rFonts w:hint="eastAsia" w:ascii="仿宋" w:hAnsi="仿宋" w:eastAsia="仿宋" w:cs="仿宋"/>
          <w:color w:val="auto"/>
          <w:sz w:val="24"/>
          <w:szCs w:val="24"/>
          <w:lang w:val="en-US" w:eastAsia="zh-CN"/>
        </w:rPr>
        <w:t>一、项目基本情况</w:t>
      </w:r>
      <w:bookmarkEnd w:id="2"/>
    </w:p>
    <w:p w14:paraId="085F4AD8">
      <w:pPr>
        <w:pageBreakBefore w:val="0"/>
        <w:widowControl/>
        <w:kinsoku/>
        <w:wordWrap/>
        <w:overflowPunct/>
        <w:topLinePunct w:val="0"/>
        <w:bidi w:val="0"/>
        <w:snapToGrid/>
        <w:spacing w:line="360" w:lineRule="auto"/>
        <w:ind w:firstLine="480" w:firstLineChars="200"/>
        <w:jc w:val="left"/>
        <w:textAlignment w:val="auto"/>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hr-HR"/>
        </w:rPr>
        <w:t>1.</w:t>
      </w:r>
      <w:r>
        <w:rPr>
          <w:rFonts w:hint="eastAsia" w:ascii="仿宋" w:hAnsi="仿宋" w:eastAsia="仿宋" w:cs="仿宋"/>
          <w:color w:val="auto"/>
          <w:kern w:val="0"/>
          <w:sz w:val="24"/>
        </w:rPr>
        <w:t>采购计划备案号：</w:t>
      </w:r>
      <w:r>
        <w:rPr>
          <w:rFonts w:hint="eastAsia" w:ascii="仿宋" w:hAnsi="仿宋" w:eastAsia="仿宋" w:cs="仿宋"/>
          <w:color w:val="auto"/>
          <w:kern w:val="0"/>
          <w:sz w:val="24"/>
          <w:lang w:val="en-US" w:eastAsia="zh-CN"/>
        </w:rPr>
        <w:t>/</w:t>
      </w:r>
    </w:p>
    <w:p w14:paraId="4B63D3B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2.</w:t>
      </w:r>
      <w:r>
        <w:rPr>
          <w:rFonts w:hint="eastAsia" w:ascii="仿宋" w:hAnsi="仿宋" w:eastAsia="仿宋" w:cs="仿宋"/>
          <w:color w:val="auto"/>
          <w:kern w:val="0"/>
          <w:sz w:val="24"/>
          <w:lang w:val="hr-HR"/>
        </w:rPr>
        <w:t>项目编号：</w:t>
      </w:r>
      <w:bookmarkStart w:id="398" w:name="_GoBack"/>
      <w:r>
        <w:rPr>
          <w:rFonts w:hint="eastAsia" w:ascii="仿宋" w:hAnsi="仿宋" w:eastAsia="仿宋" w:cs="仿宋"/>
          <w:color w:val="auto"/>
          <w:kern w:val="0"/>
          <w:sz w:val="24"/>
        </w:rPr>
        <w:t>HBZLT-WH-</w:t>
      </w:r>
      <w:r>
        <w:rPr>
          <w:rFonts w:hint="eastAsia" w:ascii="仿宋" w:hAnsi="仿宋" w:eastAsia="仿宋" w:cs="仿宋"/>
          <w:color w:val="auto"/>
          <w:kern w:val="0"/>
          <w:sz w:val="24"/>
          <w:lang w:val="en-US" w:eastAsia="zh-CN"/>
        </w:rPr>
        <w:t>125041</w:t>
      </w:r>
      <w:bookmarkEnd w:id="398"/>
    </w:p>
    <w:p w14:paraId="7ED831E3">
      <w:pPr>
        <w:pageBreakBefore w:val="0"/>
        <w:widowControl/>
        <w:kinsoku/>
        <w:wordWrap/>
        <w:overflowPunct/>
        <w:topLinePunct w:val="0"/>
        <w:bidi w:val="0"/>
        <w:snapToGrid/>
        <w:spacing w:line="360" w:lineRule="auto"/>
        <w:ind w:firstLine="480" w:firstLineChars="200"/>
        <w:jc w:val="left"/>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hr-HR"/>
        </w:rPr>
        <w:t>3.项目名称：</w:t>
      </w:r>
      <w:r>
        <w:rPr>
          <w:rFonts w:hint="eastAsia" w:ascii="仿宋" w:hAnsi="仿宋" w:eastAsia="仿宋" w:cs="仿宋"/>
          <w:color w:val="auto"/>
          <w:kern w:val="0"/>
          <w:sz w:val="24"/>
          <w:highlight w:val="none"/>
          <w:lang w:val="hr-HR" w:eastAsia="zh-CN"/>
        </w:rPr>
        <w:t>武汉市中心医院退休职工2025年-2026年纪念品采购项目</w:t>
      </w:r>
    </w:p>
    <w:p w14:paraId="3A9BF4C4">
      <w:pPr>
        <w:pageBreakBefore w:val="0"/>
        <w:widowControl/>
        <w:kinsoku/>
        <w:wordWrap/>
        <w:overflowPunct/>
        <w:topLinePunct w:val="0"/>
        <w:bidi w:val="0"/>
        <w:snapToGrid/>
        <w:spacing w:line="360" w:lineRule="auto"/>
        <w:ind w:firstLine="480" w:firstLineChars="200"/>
        <w:jc w:val="left"/>
        <w:textAlignment w:val="auto"/>
        <w:rPr>
          <w:rFonts w:hint="eastAsia" w:ascii="仿宋" w:hAnsi="仿宋" w:eastAsia="仿宋" w:cs="仿宋"/>
          <w:color w:val="auto"/>
          <w:kern w:val="0"/>
          <w:sz w:val="24"/>
          <w:highlight w:val="none"/>
          <w:lang w:val="hr-HR"/>
        </w:rPr>
      </w:pPr>
      <w:r>
        <w:rPr>
          <w:rFonts w:hint="eastAsia" w:ascii="仿宋" w:hAnsi="仿宋" w:eastAsia="仿宋" w:cs="仿宋"/>
          <w:color w:val="auto"/>
          <w:kern w:val="0"/>
          <w:sz w:val="24"/>
          <w:highlight w:val="none"/>
          <w:lang w:val="hr-HR"/>
        </w:rPr>
        <w:t>4.采购方式：公开招标</w:t>
      </w:r>
    </w:p>
    <w:p w14:paraId="369ACC6A">
      <w:pPr>
        <w:pageBreakBefore w:val="0"/>
        <w:widowControl/>
        <w:kinsoku/>
        <w:wordWrap/>
        <w:overflowPunct/>
        <w:topLinePunct w:val="0"/>
        <w:bidi w:val="0"/>
        <w:snapToGrid/>
        <w:spacing w:line="360" w:lineRule="auto"/>
        <w:ind w:firstLine="480" w:firstLineChars="200"/>
        <w:jc w:val="left"/>
        <w:textAlignment w:val="auto"/>
        <w:rPr>
          <w:rFonts w:hint="eastAsia" w:ascii="仿宋" w:hAnsi="仿宋" w:eastAsia="仿宋" w:cs="仿宋"/>
          <w:color w:val="auto"/>
          <w:kern w:val="0"/>
          <w:sz w:val="24"/>
          <w:highlight w:val="none"/>
          <w:lang w:val="hr-HR"/>
        </w:rPr>
      </w:pPr>
      <w:r>
        <w:rPr>
          <w:rFonts w:hint="eastAsia" w:ascii="仿宋" w:hAnsi="仿宋" w:eastAsia="仿宋" w:cs="仿宋"/>
          <w:color w:val="auto"/>
          <w:kern w:val="0"/>
          <w:sz w:val="24"/>
          <w:highlight w:val="none"/>
          <w:lang w:val="hr-HR"/>
        </w:rPr>
        <w:t>5.预算金额：</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lang w:val="hr-HR"/>
        </w:rPr>
        <w:t>万元</w:t>
      </w:r>
    </w:p>
    <w:p w14:paraId="62082E58">
      <w:pPr>
        <w:pageBreakBefore w:val="0"/>
        <w:widowControl/>
        <w:kinsoku/>
        <w:wordWrap/>
        <w:overflowPunct/>
        <w:topLinePunct w:val="0"/>
        <w:bidi w:val="0"/>
        <w:snapToGrid/>
        <w:spacing w:line="360" w:lineRule="auto"/>
        <w:ind w:firstLine="480" w:firstLineChars="200"/>
        <w:jc w:val="left"/>
        <w:textAlignment w:val="auto"/>
        <w:rPr>
          <w:rFonts w:hint="eastAsia" w:ascii="仿宋" w:hAnsi="仿宋" w:eastAsia="仿宋" w:cs="仿宋"/>
          <w:color w:val="auto"/>
          <w:kern w:val="0"/>
          <w:sz w:val="24"/>
          <w:highlight w:val="none"/>
          <w:lang w:val="hr-HR"/>
        </w:rPr>
      </w:pPr>
      <w:r>
        <w:rPr>
          <w:rFonts w:hint="eastAsia" w:ascii="仿宋" w:hAnsi="仿宋" w:eastAsia="仿宋" w:cs="仿宋"/>
          <w:color w:val="auto"/>
          <w:kern w:val="0"/>
          <w:sz w:val="24"/>
          <w:highlight w:val="none"/>
          <w:lang w:val="hr-HR"/>
        </w:rPr>
        <w:t>6.最高限价【如有】：</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lang w:val="hr-HR"/>
        </w:rPr>
        <w:t>万元</w:t>
      </w:r>
    </w:p>
    <w:p w14:paraId="2BBC31A7">
      <w:pPr>
        <w:pageBreakBefore w:val="0"/>
        <w:widowControl/>
        <w:kinsoku/>
        <w:wordWrap/>
        <w:overflowPunct/>
        <w:topLinePunct w:val="0"/>
        <w:bidi w:val="0"/>
        <w:snapToGrid/>
        <w:spacing w:line="360" w:lineRule="auto"/>
        <w:ind w:firstLine="480" w:firstLineChars="200"/>
        <w:jc w:val="left"/>
        <w:textAlignment w:val="auto"/>
        <w:rPr>
          <w:rFonts w:hint="eastAsia" w:ascii="仿宋" w:hAnsi="仿宋" w:eastAsia="仿宋" w:cs="仿宋"/>
          <w:color w:val="000000" w:themeColor="text1"/>
          <w:kern w:val="0"/>
          <w:sz w:val="24"/>
          <w:highlight w:val="none"/>
          <w:lang w:val="hr-HR"/>
          <w14:textFill>
            <w14:solidFill>
              <w14:schemeClr w14:val="tx1"/>
            </w14:solidFill>
          </w14:textFill>
        </w:rPr>
      </w:pPr>
      <w:r>
        <w:rPr>
          <w:rFonts w:hint="eastAsia" w:ascii="仿宋" w:hAnsi="仿宋" w:eastAsia="仿宋" w:cs="仿宋"/>
          <w:color w:val="000000" w:themeColor="text1"/>
          <w:kern w:val="0"/>
          <w:sz w:val="24"/>
          <w:highlight w:val="none"/>
          <w:lang w:val="hr-HR"/>
          <w14:textFill>
            <w14:solidFill>
              <w14:schemeClr w14:val="tx1"/>
            </w14:solidFill>
          </w14:textFill>
        </w:rPr>
        <w:t>7.采购需求：</w:t>
      </w:r>
      <w:r>
        <w:rPr>
          <w:rFonts w:hint="eastAsia" w:ascii="仿宋" w:hAnsi="仿宋" w:eastAsia="仿宋" w:cs="仿宋"/>
          <w:color w:val="000000" w:themeColor="text1"/>
          <w:kern w:val="0"/>
          <w:sz w:val="24"/>
          <w:highlight w:val="none"/>
          <w:lang w:val="hr-HR" w:eastAsia="zh-CN"/>
          <w14:textFill>
            <w14:solidFill>
              <w14:schemeClr w14:val="tx1"/>
            </w14:solidFill>
          </w14:textFill>
        </w:rPr>
        <w:t>退休职工纪念品采购，</w:t>
      </w:r>
      <w:r>
        <w:rPr>
          <w:rFonts w:hint="eastAsia" w:ascii="仿宋" w:hAnsi="仿宋" w:eastAsia="仿宋" w:cs="仿宋"/>
          <w:color w:val="000000" w:themeColor="text1"/>
          <w:kern w:val="0"/>
          <w:sz w:val="24"/>
          <w:highlight w:val="none"/>
          <w:lang w:val="en-US" w:eastAsia="zh-CN"/>
          <w14:textFill>
            <w14:solidFill>
              <w14:schemeClr w14:val="tx1"/>
            </w14:solidFill>
          </w14:textFill>
        </w:rPr>
        <w:t>本项目分1个项目包</w:t>
      </w:r>
      <w:r>
        <w:rPr>
          <w:rFonts w:hint="eastAsia" w:ascii="仿宋" w:hAnsi="仿宋" w:eastAsia="仿宋" w:cs="仿宋"/>
          <w:color w:val="000000" w:themeColor="text1"/>
          <w:kern w:val="0"/>
          <w:sz w:val="24"/>
          <w:highlight w:val="none"/>
          <w:lang w:val="hr-HR"/>
          <w14:textFill>
            <w14:solidFill>
              <w14:schemeClr w14:val="tx1"/>
            </w14:solidFill>
          </w14:textFill>
        </w:rPr>
        <w:t>具体</w:t>
      </w:r>
      <w:r>
        <w:rPr>
          <w:rFonts w:hint="eastAsia" w:ascii="仿宋" w:hAnsi="仿宋" w:eastAsia="仿宋" w:cs="仿宋"/>
          <w:color w:val="000000" w:themeColor="text1"/>
          <w:kern w:val="0"/>
          <w:sz w:val="24"/>
          <w:highlight w:val="none"/>
          <w:lang w:val="en-US" w:eastAsia="zh-CN"/>
          <w14:textFill>
            <w14:solidFill>
              <w14:schemeClr w14:val="tx1"/>
            </w14:solidFill>
          </w14:textFill>
        </w:rPr>
        <w:t>分包</w:t>
      </w:r>
      <w:r>
        <w:rPr>
          <w:rFonts w:hint="eastAsia" w:ascii="仿宋" w:hAnsi="仿宋" w:eastAsia="仿宋" w:cs="仿宋"/>
          <w:color w:val="000000" w:themeColor="text1"/>
          <w:kern w:val="0"/>
          <w:sz w:val="24"/>
          <w:highlight w:val="none"/>
          <w:lang w:val="hr-HR"/>
          <w14:textFill>
            <w14:solidFill>
              <w14:schemeClr w14:val="tx1"/>
            </w14:solidFill>
          </w14:textFill>
        </w:rPr>
        <w:t>详见《公开招标文件》第三章或招标公告附件采购需求内容</w:t>
      </w:r>
    </w:p>
    <w:p w14:paraId="509900EA">
      <w:pPr>
        <w:pageBreakBefore w:val="0"/>
        <w:widowControl/>
        <w:kinsoku/>
        <w:wordWrap/>
        <w:overflowPunct/>
        <w:topLinePunct w:val="0"/>
        <w:bidi w:val="0"/>
        <w:snapToGrid/>
        <w:spacing w:line="360" w:lineRule="auto"/>
        <w:ind w:firstLine="480" w:firstLineChars="200"/>
        <w:jc w:val="left"/>
        <w:textAlignment w:val="auto"/>
        <w:rPr>
          <w:rFonts w:hint="eastAsia" w:ascii="仿宋" w:hAnsi="仿宋" w:eastAsia="仿宋" w:cs="仿宋"/>
          <w:color w:val="000000" w:themeColor="text1"/>
          <w:kern w:val="0"/>
          <w:sz w:val="24"/>
          <w:highlight w:val="yellow"/>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8.合同履行期限：</w:t>
      </w:r>
      <w:r>
        <w:rPr>
          <w:rFonts w:hint="eastAsia" w:ascii="仿宋" w:hAnsi="仿宋" w:eastAsia="仿宋" w:cs="仿宋"/>
          <w:color w:val="000000" w:themeColor="text1"/>
          <w:kern w:val="0"/>
          <w:sz w:val="24"/>
          <w:lang w:val="en-US" w:eastAsia="zh-CN"/>
          <w14:textFill>
            <w14:solidFill>
              <w14:schemeClr w14:val="tx1"/>
            </w14:solidFill>
          </w14:textFill>
        </w:rPr>
        <w:t>交货期为</w:t>
      </w:r>
      <w:r>
        <w:rPr>
          <w:rFonts w:hint="eastAsia" w:ascii="仿宋" w:hAnsi="仿宋" w:eastAsia="仿宋" w:cs="仿宋"/>
          <w:color w:val="000000" w:themeColor="text1"/>
          <w:kern w:val="0"/>
          <w:sz w:val="24"/>
          <w14:textFill>
            <w14:solidFill>
              <w14:schemeClr w14:val="tx1"/>
            </w14:solidFill>
          </w14:textFill>
        </w:rPr>
        <w:t>合同签订后</w:t>
      </w:r>
      <w:r>
        <w:rPr>
          <w:rFonts w:hint="eastAsia" w:ascii="仿宋" w:hAnsi="仿宋" w:eastAsia="仿宋" w:cs="仿宋"/>
          <w:color w:val="000000" w:themeColor="text1"/>
          <w:kern w:val="0"/>
          <w:sz w:val="24"/>
          <w:lang w:val="en-US" w:eastAsia="zh-CN"/>
          <w14:textFill>
            <w14:solidFill>
              <w14:schemeClr w14:val="tx1"/>
            </w14:solidFill>
          </w14:textFill>
        </w:rPr>
        <w:t>按照采购人要求将</w:t>
      </w:r>
      <w:r>
        <w:rPr>
          <w:rFonts w:hint="eastAsia" w:ascii="仿宋" w:hAnsi="仿宋" w:eastAsia="仿宋" w:cs="仿宋"/>
          <w:color w:val="000000" w:themeColor="text1"/>
          <w:kern w:val="0"/>
          <w:sz w:val="24"/>
          <w14:textFill>
            <w14:solidFill>
              <w14:schemeClr w14:val="tx1"/>
            </w14:solidFill>
          </w14:textFill>
        </w:rPr>
        <w:t>提货券送达采购人指定地点</w:t>
      </w:r>
    </w:p>
    <w:p w14:paraId="6C696C3C">
      <w:pPr>
        <w:pageBreakBefore w:val="0"/>
        <w:widowControl/>
        <w:kinsoku/>
        <w:wordWrap/>
        <w:overflowPunct/>
        <w:topLinePunct w:val="0"/>
        <w:bidi w:val="0"/>
        <w:snapToGrid/>
        <w:spacing w:line="360" w:lineRule="auto"/>
        <w:ind w:firstLine="480" w:firstLineChars="200"/>
        <w:jc w:val="left"/>
        <w:textAlignment w:val="auto"/>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9.接受联合体投标：否</w:t>
      </w:r>
    </w:p>
    <w:p w14:paraId="450E9846">
      <w:pPr>
        <w:pageBreakBefore w:val="0"/>
        <w:widowControl/>
        <w:kinsoku/>
        <w:wordWrap/>
        <w:overflowPunct/>
        <w:topLinePunct w:val="0"/>
        <w:bidi w:val="0"/>
        <w:snapToGrid/>
        <w:spacing w:line="360" w:lineRule="auto"/>
        <w:ind w:firstLine="480" w:firstLineChars="200"/>
        <w:jc w:val="left"/>
        <w:textAlignment w:val="auto"/>
        <w:rPr>
          <w:rFonts w:hint="eastAsia" w:ascii="仿宋" w:hAnsi="仿宋" w:eastAsia="仿宋" w:cs="仿宋"/>
          <w:bCs/>
          <w:color w:val="auto"/>
          <w:kern w:val="0"/>
          <w:sz w:val="24"/>
          <w:lang w:eastAsia="zh-CN"/>
        </w:rPr>
      </w:pPr>
      <w:r>
        <w:rPr>
          <w:rFonts w:hint="eastAsia" w:ascii="仿宋" w:hAnsi="仿宋" w:eastAsia="仿宋" w:cs="仿宋"/>
          <w:bCs/>
          <w:color w:val="auto"/>
          <w:kern w:val="0"/>
          <w:sz w:val="24"/>
        </w:rPr>
        <w:t>10.是否可采购进口产品：否</w:t>
      </w:r>
    </w:p>
    <w:p w14:paraId="7FA3A85B">
      <w:pPr>
        <w:pageBreakBefore w:val="0"/>
        <w:widowControl/>
        <w:kinsoku/>
        <w:wordWrap/>
        <w:overflowPunct/>
        <w:topLinePunct w:val="0"/>
        <w:bidi w:val="0"/>
        <w:snapToGrid/>
        <w:spacing w:line="360" w:lineRule="auto"/>
        <w:ind w:firstLine="480" w:firstLineChars="200"/>
        <w:jc w:val="left"/>
        <w:textAlignment w:val="auto"/>
        <w:rPr>
          <w:rFonts w:ascii="仿宋" w:hAnsi="仿宋" w:eastAsia="仿宋" w:cs="仿宋"/>
          <w:bCs/>
          <w:color w:val="auto"/>
          <w:kern w:val="0"/>
          <w:sz w:val="24"/>
        </w:rPr>
      </w:pPr>
      <w:r>
        <w:rPr>
          <w:rFonts w:hint="eastAsia" w:ascii="仿宋" w:hAnsi="仿宋" w:eastAsia="仿宋" w:cs="仿宋"/>
          <w:bCs/>
          <w:color w:val="auto"/>
          <w:kern w:val="0"/>
          <w:sz w:val="24"/>
        </w:rPr>
        <w:t>11.本项目（是/否）接受合同分包：否</w:t>
      </w:r>
    </w:p>
    <w:p w14:paraId="37C81EAF">
      <w:pPr>
        <w:pageBreakBefore w:val="0"/>
        <w:widowControl/>
        <w:kinsoku/>
        <w:wordWrap/>
        <w:overflowPunct/>
        <w:topLinePunct w:val="0"/>
        <w:bidi w:val="0"/>
        <w:snapToGrid/>
        <w:spacing w:line="360" w:lineRule="auto"/>
        <w:ind w:firstLine="480" w:firstLineChars="200"/>
        <w:jc w:val="left"/>
        <w:textAlignment w:val="auto"/>
        <w:rPr>
          <w:rFonts w:hint="eastAsia" w:ascii="仿宋" w:hAnsi="仿宋" w:eastAsia="仿宋" w:cs="仿宋"/>
          <w:bCs/>
          <w:color w:val="auto"/>
          <w:kern w:val="0"/>
          <w:sz w:val="24"/>
          <w:highlight w:val="none"/>
          <w:lang w:eastAsia="zh-CN"/>
        </w:rPr>
      </w:pPr>
      <w:r>
        <w:rPr>
          <w:rFonts w:hint="eastAsia" w:ascii="仿宋" w:hAnsi="仿宋" w:eastAsia="仿宋" w:cs="仿宋"/>
          <w:bCs/>
          <w:color w:val="auto"/>
          <w:kern w:val="0"/>
          <w:sz w:val="24"/>
          <w:highlight w:val="none"/>
        </w:rPr>
        <w:t>12.本项目（是/否）专门面向中小微企业：</w:t>
      </w:r>
      <w:r>
        <w:rPr>
          <w:rFonts w:hint="eastAsia" w:ascii="仿宋" w:hAnsi="仿宋" w:eastAsia="仿宋" w:cs="仿宋"/>
          <w:bCs/>
          <w:color w:val="auto"/>
          <w:kern w:val="0"/>
          <w:sz w:val="24"/>
          <w:highlight w:val="none"/>
          <w:lang w:val="en-US" w:eastAsia="zh-CN"/>
        </w:rPr>
        <w:t>否</w:t>
      </w:r>
    </w:p>
    <w:p w14:paraId="5EA7F0BF">
      <w:pPr>
        <w:pageBreakBefore w:val="0"/>
        <w:widowControl/>
        <w:kinsoku/>
        <w:wordWrap/>
        <w:overflowPunct/>
        <w:topLinePunct w:val="0"/>
        <w:bidi w:val="0"/>
        <w:snapToGrid/>
        <w:spacing w:line="360" w:lineRule="auto"/>
        <w:ind w:firstLine="480" w:firstLineChars="200"/>
        <w:jc w:val="left"/>
        <w:textAlignment w:val="auto"/>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13.符合条件的小微企业价格扣除优惠为：10%</w:t>
      </w:r>
    </w:p>
    <w:p w14:paraId="58184E35">
      <w:pPr>
        <w:pStyle w:val="3"/>
        <w:keepNext/>
        <w:keepLines/>
        <w:pageBreakBefore w:val="0"/>
        <w:widowControl w:val="0"/>
        <w:kinsoku/>
        <w:wordWrap/>
        <w:overflowPunct/>
        <w:topLinePunct w:val="0"/>
        <w:autoSpaceDE/>
        <w:autoSpaceDN/>
        <w:bidi w:val="0"/>
        <w:adjustRightInd/>
        <w:snapToGrid/>
        <w:spacing w:before="157" w:beforeLines="50" w:after="0" w:line="360" w:lineRule="auto"/>
        <w:ind w:firstLine="482" w:firstLineChars="200"/>
        <w:textAlignment w:val="auto"/>
        <w:rPr>
          <w:rFonts w:hint="eastAsia" w:ascii="仿宋" w:hAnsi="仿宋" w:eastAsia="仿宋" w:cs="仿宋"/>
          <w:sz w:val="24"/>
          <w:szCs w:val="24"/>
          <w:lang w:val="en-US" w:eastAsia="zh-CN"/>
        </w:rPr>
      </w:pPr>
      <w:bookmarkStart w:id="3" w:name="_Toc22472"/>
      <w:r>
        <w:rPr>
          <w:rFonts w:hint="eastAsia" w:ascii="仿宋" w:hAnsi="仿宋" w:eastAsia="仿宋" w:cs="仿宋"/>
          <w:sz w:val="24"/>
          <w:szCs w:val="24"/>
          <w:lang w:val="en-US" w:eastAsia="zh-CN"/>
        </w:rPr>
        <w:t>二、投标人资格要求</w:t>
      </w:r>
      <w:bookmarkEnd w:id="3"/>
    </w:p>
    <w:p w14:paraId="0F1C1C49">
      <w:pPr>
        <w:pageBreakBefore w:val="0"/>
        <w:widowControl/>
        <w:kinsoku/>
        <w:wordWrap/>
        <w:overflowPunct/>
        <w:topLinePunct w:val="0"/>
        <w:bidi w:val="0"/>
        <w:snapToGrid/>
        <w:spacing w:line="360" w:lineRule="auto"/>
        <w:ind w:firstLine="480" w:firstLineChars="200"/>
        <w:jc w:val="left"/>
        <w:textAlignment w:val="auto"/>
        <w:rPr>
          <w:rFonts w:ascii="仿宋" w:hAnsi="仿宋" w:eastAsia="仿宋" w:cs="仿宋"/>
          <w:color w:val="000000"/>
          <w:kern w:val="0"/>
          <w:sz w:val="24"/>
        </w:rPr>
      </w:pPr>
      <w:r>
        <w:rPr>
          <w:rFonts w:hint="eastAsia" w:ascii="仿宋" w:hAnsi="仿宋" w:eastAsia="仿宋" w:cs="仿宋"/>
          <w:color w:val="000000"/>
          <w:kern w:val="0"/>
          <w:sz w:val="24"/>
        </w:rPr>
        <w:t>1.满足《中华人民共和国政府采购法》第二十二条规定，即：</w:t>
      </w:r>
    </w:p>
    <w:p w14:paraId="25FBD4B9">
      <w:pPr>
        <w:pageBreakBefore w:val="0"/>
        <w:widowControl/>
        <w:kinsoku/>
        <w:wordWrap/>
        <w:overflowPunct/>
        <w:topLinePunct w:val="0"/>
        <w:bidi w:val="0"/>
        <w:snapToGrid/>
        <w:spacing w:line="360" w:lineRule="auto"/>
        <w:ind w:firstLine="480" w:firstLineChars="200"/>
        <w:jc w:val="left"/>
        <w:textAlignment w:val="auto"/>
        <w:rPr>
          <w:rFonts w:ascii="仿宋" w:hAnsi="仿宋" w:eastAsia="仿宋" w:cs="仿宋"/>
          <w:color w:val="000000"/>
          <w:kern w:val="0"/>
          <w:sz w:val="24"/>
        </w:rPr>
      </w:pPr>
      <w:r>
        <w:rPr>
          <w:rFonts w:hint="eastAsia" w:ascii="仿宋" w:hAnsi="仿宋" w:eastAsia="仿宋" w:cs="仿宋"/>
          <w:color w:val="000000"/>
          <w:kern w:val="0"/>
          <w:sz w:val="24"/>
        </w:rPr>
        <w:t>（1）具有独立承担民事责任的能力；</w:t>
      </w:r>
    </w:p>
    <w:p w14:paraId="3F418EE2">
      <w:pPr>
        <w:pageBreakBefore w:val="0"/>
        <w:widowControl/>
        <w:kinsoku/>
        <w:wordWrap/>
        <w:overflowPunct/>
        <w:topLinePunct w:val="0"/>
        <w:bidi w:val="0"/>
        <w:snapToGrid/>
        <w:spacing w:line="360" w:lineRule="auto"/>
        <w:ind w:firstLine="480" w:firstLineChars="200"/>
        <w:jc w:val="left"/>
        <w:textAlignment w:val="auto"/>
        <w:rPr>
          <w:rFonts w:ascii="仿宋" w:hAnsi="仿宋" w:eastAsia="仿宋" w:cs="仿宋"/>
          <w:color w:val="000000"/>
          <w:kern w:val="0"/>
          <w:sz w:val="24"/>
        </w:rPr>
      </w:pPr>
      <w:r>
        <w:rPr>
          <w:rFonts w:hint="eastAsia" w:ascii="仿宋" w:hAnsi="仿宋" w:eastAsia="仿宋" w:cs="仿宋"/>
          <w:color w:val="000000"/>
          <w:kern w:val="0"/>
          <w:sz w:val="24"/>
        </w:rPr>
        <w:t>（2）具有良好的商业信誉和健全的财务会计制度；</w:t>
      </w:r>
    </w:p>
    <w:p w14:paraId="53AD92D2">
      <w:pPr>
        <w:pageBreakBefore w:val="0"/>
        <w:widowControl/>
        <w:kinsoku/>
        <w:wordWrap/>
        <w:overflowPunct/>
        <w:topLinePunct w:val="0"/>
        <w:bidi w:val="0"/>
        <w:snapToGrid/>
        <w:spacing w:line="360" w:lineRule="auto"/>
        <w:ind w:firstLine="480" w:firstLineChars="200"/>
        <w:jc w:val="left"/>
        <w:textAlignment w:val="auto"/>
        <w:rPr>
          <w:rFonts w:ascii="仿宋" w:hAnsi="仿宋" w:eastAsia="仿宋" w:cs="仿宋"/>
          <w:color w:val="000000"/>
          <w:kern w:val="0"/>
          <w:sz w:val="24"/>
        </w:rPr>
      </w:pPr>
      <w:r>
        <w:rPr>
          <w:rFonts w:hint="eastAsia" w:ascii="仿宋" w:hAnsi="仿宋" w:eastAsia="仿宋" w:cs="仿宋"/>
          <w:color w:val="000000"/>
          <w:kern w:val="0"/>
          <w:sz w:val="24"/>
        </w:rPr>
        <w:t>（3）具有履行合同所必需的设备和专业技术能力；</w:t>
      </w:r>
    </w:p>
    <w:p w14:paraId="6191F9C5">
      <w:pPr>
        <w:pageBreakBefore w:val="0"/>
        <w:widowControl/>
        <w:kinsoku/>
        <w:wordWrap/>
        <w:overflowPunct/>
        <w:topLinePunct w:val="0"/>
        <w:bidi w:val="0"/>
        <w:snapToGrid/>
        <w:spacing w:line="360" w:lineRule="auto"/>
        <w:ind w:firstLine="480" w:firstLineChars="200"/>
        <w:jc w:val="left"/>
        <w:textAlignment w:val="auto"/>
        <w:rPr>
          <w:rFonts w:ascii="仿宋" w:hAnsi="仿宋" w:eastAsia="仿宋" w:cs="仿宋"/>
          <w:color w:val="000000"/>
          <w:kern w:val="0"/>
          <w:sz w:val="24"/>
        </w:rPr>
      </w:pPr>
      <w:r>
        <w:rPr>
          <w:rFonts w:hint="eastAsia" w:ascii="仿宋" w:hAnsi="仿宋" w:eastAsia="仿宋" w:cs="仿宋"/>
          <w:color w:val="000000"/>
          <w:kern w:val="0"/>
          <w:sz w:val="24"/>
        </w:rPr>
        <w:t>（4）有依法缴纳税收和社会保障资金的良好记录；</w:t>
      </w:r>
    </w:p>
    <w:p w14:paraId="1E76490C">
      <w:pPr>
        <w:pageBreakBefore w:val="0"/>
        <w:widowControl/>
        <w:kinsoku/>
        <w:wordWrap/>
        <w:overflowPunct/>
        <w:topLinePunct w:val="0"/>
        <w:bidi w:val="0"/>
        <w:snapToGrid/>
        <w:spacing w:line="360" w:lineRule="auto"/>
        <w:ind w:firstLine="480" w:firstLineChars="200"/>
        <w:jc w:val="left"/>
        <w:textAlignment w:val="auto"/>
        <w:rPr>
          <w:rFonts w:ascii="仿宋" w:hAnsi="仿宋" w:eastAsia="仿宋" w:cs="仿宋"/>
          <w:color w:val="000000"/>
          <w:kern w:val="0"/>
          <w:sz w:val="24"/>
        </w:rPr>
      </w:pPr>
      <w:r>
        <w:rPr>
          <w:rFonts w:hint="eastAsia" w:ascii="仿宋" w:hAnsi="仿宋" w:eastAsia="仿宋" w:cs="仿宋"/>
          <w:color w:val="000000"/>
          <w:kern w:val="0"/>
          <w:sz w:val="24"/>
        </w:rPr>
        <w:t>（5）参加采购活动前三年内，在经营活动中没有重大违法记录；</w:t>
      </w:r>
    </w:p>
    <w:p w14:paraId="32BC1487">
      <w:pPr>
        <w:pageBreakBefore w:val="0"/>
        <w:widowControl/>
        <w:kinsoku/>
        <w:wordWrap/>
        <w:overflowPunct/>
        <w:topLinePunct w:val="0"/>
        <w:bidi w:val="0"/>
        <w:snapToGrid/>
        <w:spacing w:line="360" w:lineRule="auto"/>
        <w:ind w:firstLine="480" w:firstLineChars="200"/>
        <w:jc w:val="left"/>
        <w:textAlignment w:val="auto"/>
        <w:rPr>
          <w:rFonts w:ascii="仿宋" w:hAnsi="仿宋" w:eastAsia="仿宋" w:cs="仿宋"/>
          <w:color w:val="000000"/>
          <w:kern w:val="0"/>
          <w:sz w:val="24"/>
        </w:rPr>
      </w:pPr>
      <w:r>
        <w:rPr>
          <w:rFonts w:hint="eastAsia" w:ascii="仿宋" w:hAnsi="仿宋" w:eastAsia="仿宋" w:cs="仿宋"/>
          <w:color w:val="000000"/>
          <w:kern w:val="0"/>
          <w:sz w:val="24"/>
        </w:rPr>
        <w:t>（6）法律、行政法规规定的其他条件。</w:t>
      </w:r>
    </w:p>
    <w:p w14:paraId="3BEA1057">
      <w:pPr>
        <w:pageBreakBefore w:val="0"/>
        <w:widowControl/>
        <w:kinsoku/>
        <w:wordWrap/>
        <w:overflowPunct/>
        <w:topLinePunct w:val="0"/>
        <w:bidi w:val="0"/>
        <w:snapToGrid/>
        <w:spacing w:line="360" w:lineRule="auto"/>
        <w:ind w:firstLine="480" w:firstLineChars="200"/>
        <w:textAlignment w:val="auto"/>
        <w:rPr>
          <w:rFonts w:ascii="仿宋" w:hAnsi="仿宋" w:eastAsia="仿宋" w:cs="仿宋"/>
          <w:color w:val="000000"/>
          <w:kern w:val="0"/>
          <w:sz w:val="24"/>
        </w:rPr>
      </w:pPr>
      <w:r>
        <w:rPr>
          <w:rFonts w:hint="eastAsia" w:ascii="仿宋" w:hAnsi="仿宋" w:eastAsia="仿宋" w:cs="仿宋"/>
          <w:color w:val="000000"/>
          <w:kern w:val="0"/>
          <w:sz w:val="24"/>
        </w:rPr>
        <w:t>2.单位负责人为同一人或者存在直接控股、管理关系的不同投标人，不得参加本项目同一合同项下的政府采购活动。</w:t>
      </w:r>
    </w:p>
    <w:p w14:paraId="596A30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color w:val="000000"/>
          <w:kern w:val="0"/>
          <w:sz w:val="24"/>
        </w:rPr>
      </w:pPr>
      <w:r>
        <w:rPr>
          <w:rFonts w:hint="eastAsia" w:ascii="仿宋" w:hAnsi="仿宋" w:eastAsia="仿宋" w:cs="仿宋"/>
          <w:color w:val="000000"/>
          <w:kern w:val="0"/>
          <w:sz w:val="24"/>
        </w:rPr>
        <w:t>3.为本采购项目提供整体设计、规范编制或者项目管理、监理、检测等服务的，不得再参加本项目的其他招标采购活动。</w:t>
      </w:r>
    </w:p>
    <w:p w14:paraId="4F75249D">
      <w:pPr>
        <w:pageBreakBefore w:val="0"/>
        <w:widowControl/>
        <w:kinsoku/>
        <w:wordWrap/>
        <w:overflowPunct/>
        <w:topLinePunct w:val="0"/>
        <w:bidi w:val="0"/>
        <w:snapToGrid/>
        <w:spacing w:line="360" w:lineRule="auto"/>
        <w:ind w:firstLine="480" w:firstLineChars="200"/>
        <w:textAlignment w:val="auto"/>
        <w:rPr>
          <w:rFonts w:ascii="仿宋" w:hAnsi="仿宋" w:eastAsia="仿宋" w:cs="仿宋"/>
          <w:color w:val="000000"/>
          <w:kern w:val="0"/>
          <w:sz w:val="24"/>
        </w:rPr>
      </w:pPr>
      <w:r>
        <w:rPr>
          <w:rFonts w:hint="eastAsia" w:ascii="仿宋" w:hAnsi="仿宋" w:eastAsia="仿宋" w:cs="仿宋"/>
          <w:color w:val="000000"/>
          <w:kern w:val="0"/>
          <w:sz w:val="24"/>
        </w:rPr>
        <w:t>4.未被列入失信被执行人、重大税收违法失信主体，未被列入政府采购严重违法失信行为记录名单。</w:t>
      </w:r>
    </w:p>
    <w:p w14:paraId="5B37C29A">
      <w:pPr>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color w:val="000000"/>
          <w:kern w:val="0"/>
          <w:sz w:val="24"/>
        </w:rPr>
      </w:pPr>
      <w:r>
        <w:rPr>
          <w:rFonts w:hint="eastAsia" w:ascii="仿宋" w:hAnsi="仿宋" w:eastAsia="仿宋" w:cs="仿宋"/>
          <w:color w:val="000000"/>
          <w:kern w:val="0"/>
          <w:sz w:val="24"/>
        </w:rPr>
        <w:t>5.落实政府采购政策需满足的资格要求</w:t>
      </w:r>
    </w:p>
    <w:p w14:paraId="4EA241A6">
      <w:pPr>
        <w:pageBreakBefore w:val="0"/>
        <w:widowControl/>
        <w:kinsoku/>
        <w:wordWrap/>
        <w:overflowPunct/>
        <w:topLinePunct w:val="0"/>
        <w:bidi w:val="0"/>
        <w:snapToGrid/>
        <w:spacing w:line="360" w:lineRule="auto"/>
        <w:ind w:firstLine="480" w:firstLineChars="200"/>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5.1中小企业政策：非</w:t>
      </w:r>
      <w:r>
        <w:rPr>
          <w:rFonts w:hint="eastAsia" w:ascii="仿宋" w:hAnsi="仿宋" w:eastAsia="仿宋" w:cs="仿宋"/>
          <w:bCs/>
          <w:color w:val="auto"/>
          <w:kern w:val="0"/>
          <w:sz w:val="24"/>
          <w:highlight w:val="none"/>
        </w:rPr>
        <w:t>专门面向中小微企业</w:t>
      </w:r>
      <w:r>
        <w:rPr>
          <w:rFonts w:hint="eastAsia" w:ascii="仿宋" w:hAnsi="仿宋" w:eastAsia="仿宋" w:cs="仿宋"/>
          <w:bCs/>
          <w:color w:val="auto"/>
          <w:kern w:val="0"/>
          <w:sz w:val="24"/>
          <w:highlight w:val="none"/>
          <w:lang w:val="en-US" w:eastAsia="zh-CN"/>
        </w:rPr>
        <w:t>预留份额采购</w:t>
      </w:r>
      <w:r>
        <w:rPr>
          <w:rFonts w:hint="eastAsia" w:ascii="仿宋" w:hAnsi="仿宋" w:eastAsia="仿宋" w:cs="仿宋"/>
          <w:color w:val="auto"/>
          <w:kern w:val="0"/>
          <w:sz w:val="24"/>
          <w:highlight w:val="none"/>
          <w:lang w:val="en-US" w:eastAsia="zh-CN"/>
        </w:rPr>
        <w:t>。</w:t>
      </w:r>
    </w:p>
    <w:p w14:paraId="1B7DC017">
      <w:pPr>
        <w:pageBreakBefore w:val="0"/>
        <w:kinsoku/>
        <w:wordWrap/>
        <w:overflowPunct/>
        <w:topLinePunct w:val="0"/>
        <w:bidi w:val="0"/>
        <w:snapToGrid/>
        <w:spacing w:line="360" w:lineRule="auto"/>
        <w:ind w:firstLine="480" w:firstLineChars="200"/>
        <w:textAlignment w:val="auto"/>
        <w:rPr>
          <w:rFonts w:hint="eastAsia" w:ascii="仿宋" w:hAnsi="仿宋" w:eastAsia="仿宋" w:cs="仿宋"/>
          <w:color w:val="000000"/>
          <w:kern w:val="0"/>
          <w:sz w:val="24"/>
          <w:lang w:eastAsia="zh-CN"/>
        </w:rPr>
      </w:pPr>
      <w:r>
        <w:rPr>
          <w:rFonts w:hint="eastAsia" w:ascii="仿宋" w:hAnsi="仿宋" w:eastAsia="仿宋" w:cs="仿宋"/>
          <w:color w:val="000000"/>
          <w:kern w:val="0"/>
          <w:sz w:val="24"/>
          <w:lang w:val="en-US" w:eastAsia="zh-CN"/>
        </w:rPr>
        <w:t>5.2</w:t>
      </w:r>
      <w:r>
        <w:rPr>
          <w:rFonts w:hint="eastAsia" w:ascii="仿宋" w:hAnsi="仿宋" w:eastAsia="仿宋" w:cs="仿宋"/>
          <w:color w:val="000000"/>
          <w:kern w:val="0"/>
          <w:sz w:val="24"/>
        </w:rPr>
        <w:t>其他落实政府采购政策的资格要求（如有）：</w:t>
      </w:r>
      <w:r>
        <w:rPr>
          <w:rFonts w:hint="eastAsia" w:ascii="仿宋" w:hAnsi="仿宋" w:eastAsia="仿宋" w:cs="仿宋"/>
          <w:color w:val="000000"/>
          <w:kern w:val="0"/>
          <w:sz w:val="24"/>
          <w:lang w:val="en-US" w:eastAsia="zh-CN"/>
        </w:rPr>
        <w:t>无。</w:t>
      </w:r>
    </w:p>
    <w:p w14:paraId="2D572758">
      <w:pPr>
        <w:pageBreakBefore w:val="0"/>
        <w:kinsoku/>
        <w:wordWrap/>
        <w:overflowPunct/>
        <w:topLinePunct w:val="0"/>
        <w:bidi w:val="0"/>
        <w:snapToGrid/>
        <w:spacing w:line="360" w:lineRule="auto"/>
        <w:ind w:firstLine="480" w:firstLineChars="200"/>
        <w:textAlignment w:val="auto"/>
        <w:rPr>
          <w:rFonts w:hint="eastAsia" w:ascii="仿宋" w:hAnsi="仿宋" w:eastAsia="仿宋" w:cs="仿宋"/>
          <w:color w:val="000000"/>
          <w:kern w:val="0"/>
          <w:sz w:val="24"/>
        </w:rPr>
      </w:pPr>
      <w:r>
        <w:rPr>
          <w:rFonts w:hint="eastAsia" w:ascii="仿宋" w:hAnsi="仿宋" w:eastAsia="仿宋" w:cs="仿宋"/>
          <w:color w:val="000000"/>
          <w:kern w:val="0"/>
          <w:sz w:val="24"/>
        </w:rPr>
        <w:t>6.本项目的特定资格要求：</w:t>
      </w:r>
      <w:r>
        <w:rPr>
          <w:rFonts w:hint="eastAsia" w:ascii="仿宋" w:hAnsi="仿宋" w:eastAsia="仿宋" w:cs="仿宋"/>
          <w:color w:val="auto"/>
          <w:kern w:val="0"/>
          <w:sz w:val="24"/>
          <w:highlight w:val="none"/>
        </w:rPr>
        <w:t>投标人须具备有效的《食品经营许可证》或《食品经营者备案信息采集表》，国家另有规定的从其规定。</w:t>
      </w:r>
    </w:p>
    <w:p w14:paraId="1120FBD9">
      <w:pPr>
        <w:pStyle w:val="3"/>
        <w:keepNext/>
        <w:keepLines/>
        <w:pageBreakBefore w:val="0"/>
        <w:widowControl w:val="0"/>
        <w:kinsoku/>
        <w:wordWrap/>
        <w:overflowPunct/>
        <w:topLinePunct w:val="0"/>
        <w:autoSpaceDE/>
        <w:autoSpaceDN/>
        <w:bidi w:val="0"/>
        <w:adjustRightInd/>
        <w:snapToGrid/>
        <w:spacing w:before="157" w:beforeLines="50" w:after="0" w:line="360" w:lineRule="auto"/>
        <w:ind w:firstLine="482" w:firstLineChars="200"/>
        <w:textAlignment w:val="auto"/>
        <w:rPr>
          <w:rFonts w:hint="eastAsia" w:ascii="仿宋" w:hAnsi="仿宋" w:eastAsia="仿宋" w:cs="仿宋"/>
          <w:sz w:val="24"/>
          <w:szCs w:val="24"/>
          <w:lang w:val="en-US" w:eastAsia="zh-CN"/>
        </w:rPr>
      </w:pPr>
      <w:bookmarkStart w:id="4" w:name="_Toc22469"/>
      <w:r>
        <w:rPr>
          <w:rFonts w:hint="eastAsia" w:ascii="仿宋" w:hAnsi="仿宋" w:eastAsia="仿宋" w:cs="仿宋"/>
          <w:sz w:val="24"/>
          <w:szCs w:val="24"/>
          <w:lang w:val="en-US" w:eastAsia="zh-CN"/>
        </w:rPr>
        <w:t>三、获取招标文件</w:t>
      </w:r>
      <w:bookmarkEnd w:id="4"/>
    </w:p>
    <w:p w14:paraId="6DBB50BD">
      <w:pPr>
        <w:pageBreakBefore w:val="0"/>
        <w:kinsoku/>
        <w:wordWrap/>
        <w:overflowPunct/>
        <w:topLinePunct w:val="0"/>
        <w:bidi w:val="0"/>
        <w:snapToGrid/>
        <w:spacing w:line="360" w:lineRule="auto"/>
        <w:ind w:firstLine="480" w:firstLineChars="200"/>
        <w:textAlignment w:val="auto"/>
        <w:rPr>
          <w:rFonts w:hint="eastAsia" w:ascii="仿宋" w:hAnsi="仿宋" w:eastAsia="仿宋" w:cs="仿宋"/>
          <w:color w:val="000000"/>
          <w:kern w:val="0"/>
          <w:sz w:val="24"/>
          <w:lang w:eastAsia="zh-CN"/>
        </w:rPr>
      </w:pPr>
      <w:r>
        <w:rPr>
          <w:rFonts w:hint="eastAsia" w:ascii="仿宋" w:hAnsi="仿宋" w:eastAsia="仿宋" w:cs="仿宋"/>
          <w:color w:val="000000"/>
          <w:kern w:val="0"/>
          <w:sz w:val="24"/>
        </w:rPr>
        <w:t>1.时间：202</w:t>
      </w:r>
      <w:r>
        <w:rPr>
          <w:rFonts w:hint="eastAsia" w:ascii="仿宋" w:hAnsi="仿宋" w:eastAsia="仿宋" w:cs="仿宋"/>
          <w:color w:val="000000"/>
          <w:kern w:val="0"/>
          <w:sz w:val="24"/>
          <w:lang w:val="en-US" w:eastAsia="zh-CN"/>
        </w:rPr>
        <w:t>5</w:t>
      </w:r>
      <w:r>
        <w:rPr>
          <w:rFonts w:hint="eastAsia" w:ascii="仿宋" w:hAnsi="仿宋" w:eastAsia="仿宋" w:cs="仿宋"/>
          <w:color w:val="000000"/>
          <w:kern w:val="0"/>
          <w:sz w:val="24"/>
        </w:rPr>
        <w:t>年</w:t>
      </w:r>
      <w:r>
        <w:rPr>
          <w:rFonts w:hint="eastAsia" w:ascii="仿宋" w:hAnsi="仿宋" w:eastAsia="仿宋" w:cs="仿宋"/>
          <w:color w:val="000000"/>
          <w:kern w:val="0"/>
          <w:sz w:val="24"/>
          <w:lang w:val="en-US" w:eastAsia="zh-CN"/>
        </w:rPr>
        <w:t>4</w:t>
      </w:r>
      <w:r>
        <w:rPr>
          <w:rFonts w:hint="eastAsia" w:ascii="仿宋" w:hAnsi="仿宋" w:eastAsia="仿宋" w:cs="仿宋"/>
          <w:color w:val="000000"/>
          <w:kern w:val="0"/>
          <w:sz w:val="24"/>
        </w:rPr>
        <w:t>月</w:t>
      </w:r>
      <w:r>
        <w:rPr>
          <w:rFonts w:hint="eastAsia" w:ascii="仿宋" w:hAnsi="仿宋" w:eastAsia="仿宋" w:cs="仿宋"/>
          <w:color w:val="000000"/>
          <w:kern w:val="0"/>
          <w:sz w:val="24"/>
          <w:lang w:val="en-US" w:eastAsia="zh-CN"/>
        </w:rPr>
        <w:t>9</w:t>
      </w:r>
      <w:r>
        <w:rPr>
          <w:rFonts w:hint="eastAsia" w:ascii="仿宋" w:hAnsi="仿宋" w:eastAsia="仿宋" w:cs="仿宋"/>
          <w:color w:val="000000"/>
          <w:kern w:val="0"/>
          <w:sz w:val="24"/>
        </w:rPr>
        <w:t>日至20</w:t>
      </w:r>
      <w:r>
        <w:rPr>
          <w:rFonts w:hint="eastAsia" w:ascii="仿宋" w:hAnsi="仿宋" w:eastAsia="仿宋" w:cs="仿宋"/>
          <w:color w:val="000000"/>
          <w:kern w:val="0"/>
          <w:sz w:val="24"/>
          <w:lang w:val="en-US" w:eastAsia="zh-CN"/>
        </w:rPr>
        <w:t>25</w:t>
      </w:r>
      <w:r>
        <w:rPr>
          <w:rFonts w:hint="eastAsia" w:ascii="仿宋" w:hAnsi="仿宋" w:eastAsia="仿宋" w:cs="仿宋"/>
          <w:color w:val="000000"/>
          <w:kern w:val="0"/>
          <w:sz w:val="24"/>
        </w:rPr>
        <w:t>年</w:t>
      </w:r>
      <w:r>
        <w:rPr>
          <w:rFonts w:hint="eastAsia" w:ascii="仿宋" w:hAnsi="仿宋" w:eastAsia="仿宋" w:cs="仿宋"/>
          <w:color w:val="000000"/>
          <w:kern w:val="0"/>
          <w:sz w:val="24"/>
          <w:lang w:val="en-US" w:eastAsia="zh-CN"/>
        </w:rPr>
        <w:t>4</w:t>
      </w:r>
      <w:r>
        <w:rPr>
          <w:rFonts w:hint="eastAsia" w:ascii="仿宋" w:hAnsi="仿宋" w:eastAsia="仿宋" w:cs="仿宋"/>
          <w:color w:val="000000"/>
          <w:kern w:val="0"/>
          <w:sz w:val="24"/>
        </w:rPr>
        <w:t>月</w:t>
      </w:r>
      <w:r>
        <w:rPr>
          <w:rFonts w:hint="eastAsia" w:ascii="仿宋" w:hAnsi="仿宋" w:eastAsia="仿宋" w:cs="仿宋"/>
          <w:color w:val="000000"/>
          <w:kern w:val="0"/>
          <w:sz w:val="24"/>
          <w:lang w:val="en-US" w:eastAsia="zh-CN"/>
        </w:rPr>
        <w:t>15</w:t>
      </w:r>
      <w:r>
        <w:rPr>
          <w:rFonts w:hint="eastAsia" w:ascii="仿宋" w:hAnsi="仿宋" w:eastAsia="仿宋" w:cs="仿宋"/>
          <w:color w:val="000000"/>
          <w:kern w:val="0"/>
          <w:sz w:val="24"/>
        </w:rPr>
        <w:t>日，每天上午09:00至12:00，下午14:00至17:00（北京时间，法定节假日除外）</w:t>
      </w:r>
      <w:r>
        <w:rPr>
          <w:rFonts w:hint="eastAsia" w:ascii="仿宋" w:hAnsi="仿宋" w:eastAsia="仿宋" w:cs="仿宋"/>
          <w:color w:val="000000"/>
          <w:kern w:val="0"/>
          <w:sz w:val="24"/>
          <w:lang w:eastAsia="zh-CN"/>
        </w:rPr>
        <w:t>。</w:t>
      </w:r>
    </w:p>
    <w:p w14:paraId="114847A6">
      <w:pPr>
        <w:pageBreakBefore w:val="0"/>
        <w:kinsoku/>
        <w:wordWrap/>
        <w:overflowPunct/>
        <w:topLinePunct w:val="0"/>
        <w:bidi w:val="0"/>
        <w:snapToGrid/>
        <w:spacing w:line="360" w:lineRule="auto"/>
        <w:ind w:firstLine="480" w:firstLineChars="200"/>
        <w:textAlignment w:val="auto"/>
        <w:rPr>
          <w:rFonts w:ascii="仿宋" w:hAnsi="仿宋" w:eastAsia="仿宋" w:cs="仿宋"/>
          <w:color w:val="000000"/>
          <w:kern w:val="0"/>
          <w:sz w:val="24"/>
        </w:rPr>
      </w:pPr>
      <w:r>
        <w:rPr>
          <w:rFonts w:hint="eastAsia" w:ascii="仿宋" w:hAnsi="仿宋" w:eastAsia="仿宋" w:cs="仿宋"/>
          <w:color w:val="000000"/>
          <w:kern w:val="0"/>
          <w:sz w:val="24"/>
        </w:rPr>
        <w:t>2.地点：湖北省武汉市江岸区马祖路17号9楼（湖北中联太工程造价咨询有限公司）领取接待室或网上获取。</w:t>
      </w:r>
    </w:p>
    <w:p w14:paraId="78C6CC1B">
      <w:pPr>
        <w:pageBreakBefore w:val="0"/>
        <w:kinsoku/>
        <w:wordWrap/>
        <w:overflowPunct/>
        <w:topLinePunct w:val="0"/>
        <w:bidi w:val="0"/>
        <w:snapToGrid/>
        <w:spacing w:line="360" w:lineRule="auto"/>
        <w:ind w:firstLine="480" w:firstLineChars="200"/>
        <w:textAlignment w:val="auto"/>
        <w:rPr>
          <w:rFonts w:hint="eastAsia" w:ascii="仿宋" w:hAnsi="仿宋" w:eastAsia="仿宋" w:cs="仿宋"/>
          <w:color w:val="000000"/>
          <w:kern w:val="0"/>
          <w:sz w:val="24"/>
        </w:rPr>
      </w:pPr>
      <w:r>
        <w:rPr>
          <w:rFonts w:hint="eastAsia" w:ascii="仿宋" w:hAnsi="仿宋" w:eastAsia="仿宋" w:cs="仿宋"/>
          <w:color w:val="000000"/>
          <w:kern w:val="0"/>
          <w:sz w:val="24"/>
        </w:rPr>
        <w:t>3.方式：现场领取或网上获取。符合资格的申请人应当在获取时间内，提供以下材料领取招标文件。</w:t>
      </w:r>
    </w:p>
    <w:p w14:paraId="2A2E517C">
      <w:pPr>
        <w:pageBreakBefore w:val="0"/>
        <w:kinsoku/>
        <w:wordWrap/>
        <w:overflowPunct/>
        <w:topLinePunct w:val="0"/>
        <w:bidi w:val="0"/>
        <w:snapToGrid/>
        <w:spacing w:line="360" w:lineRule="auto"/>
        <w:ind w:firstLine="480" w:firstLineChars="200"/>
        <w:textAlignment w:val="auto"/>
        <w:rPr>
          <w:rFonts w:hint="eastAsia" w:ascii="仿宋" w:hAnsi="仿宋" w:eastAsia="仿宋" w:cs="仿宋"/>
          <w:color w:val="000000"/>
          <w:kern w:val="0"/>
          <w:sz w:val="24"/>
        </w:rPr>
      </w:pPr>
      <w:r>
        <w:rPr>
          <w:rFonts w:hint="eastAsia" w:ascii="仿宋" w:hAnsi="仿宋" w:eastAsia="仿宋" w:cs="仿宋"/>
          <w:color w:val="000000"/>
          <w:kern w:val="0"/>
          <w:sz w:val="24"/>
        </w:rPr>
        <w:t>（1）申请人为法人或者其他组织的，需提供单位介绍信（或法人授权委托书）、经办人身份证明。</w:t>
      </w:r>
    </w:p>
    <w:p w14:paraId="5504665B">
      <w:pPr>
        <w:pageBreakBefore w:val="0"/>
        <w:kinsoku/>
        <w:wordWrap/>
        <w:overflowPunct/>
        <w:topLinePunct w:val="0"/>
        <w:bidi w:val="0"/>
        <w:snapToGrid/>
        <w:spacing w:line="360" w:lineRule="auto"/>
        <w:ind w:firstLine="480" w:firstLineChars="200"/>
        <w:textAlignment w:val="auto"/>
        <w:rPr>
          <w:rFonts w:ascii="仿宋" w:hAnsi="仿宋" w:eastAsia="仿宋" w:cs="仿宋"/>
          <w:color w:val="000000"/>
          <w:kern w:val="0"/>
          <w:sz w:val="24"/>
        </w:rPr>
      </w:pPr>
      <w:r>
        <w:rPr>
          <w:rFonts w:hint="eastAsia" w:ascii="仿宋" w:hAnsi="仿宋" w:eastAsia="仿宋" w:cs="仿宋"/>
          <w:color w:val="000000"/>
          <w:kern w:val="0"/>
          <w:sz w:val="24"/>
        </w:rPr>
        <w:t>（2）申请人为自然人的只需提供本人身份证明。招标文件如需网络获取或邮寄的，申请人应将获取招标文件所需提交的完整资料扫描件发至邮箱1709599170@qq.com，并在邮件中注明申请人名称、所投包号、联系人及电话。采购人、采购代理机构对邮寄、电子文本传输过程中发生的迟交或遗失均不承担责任，投标人获取招标文件的时效性以投标人提交的完整资料的时间为准。</w:t>
      </w:r>
    </w:p>
    <w:p w14:paraId="7FC0DDD2">
      <w:pPr>
        <w:pageBreakBefore w:val="0"/>
        <w:kinsoku/>
        <w:wordWrap/>
        <w:overflowPunct/>
        <w:topLinePunct w:val="0"/>
        <w:bidi w:val="0"/>
        <w:snapToGrid/>
        <w:spacing w:line="360" w:lineRule="auto"/>
        <w:ind w:firstLine="480" w:firstLineChars="200"/>
        <w:textAlignment w:val="auto"/>
        <w:rPr>
          <w:rFonts w:hint="eastAsia" w:ascii="仿宋" w:hAnsi="仿宋" w:eastAsia="仿宋" w:cs="仿宋"/>
          <w:color w:val="000000"/>
          <w:kern w:val="0"/>
          <w:sz w:val="24"/>
          <w:lang w:eastAsia="zh-CN"/>
        </w:rPr>
      </w:pPr>
      <w:r>
        <w:rPr>
          <w:rFonts w:hint="eastAsia" w:ascii="仿宋" w:hAnsi="仿宋" w:eastAsia="仿宋" w:cs="仿宋"/>
          <w:bCs/>
          <w:color w:val="000000"/>
          <w:kern w:val="0"/>
          <w:sz w:val="24"/>
        </w:rPr>
        <w:t>4.售价：</w:t>
      </w:r>
      <w:r>
        <w:rPr>
          <w:rFonts w:hint="eastAsia" w:ascii="仿宋" w:hAnsi="仿宋" w:eastAsia="仿宋" w:cs="仿宋"/>
          <w:bCs/>
          <w:color w:val="000000"/>
          <w:kern w:val="0"/>
          <w:sz w:val="24"/>
          <w:lang w:val="en-US" w:eastAsia="zh-CN"/>
        </w:rPr>
        <w:t>400</w:t>
      </w:r>
      <w:r>
        <w:rPr>
          <w:rFonts w:hint="eastAsia" w:ascii="仿宋" w:hAnsi="仿宋" w:eastAsia="仿宋" w:cs="仿宋"/>
          <w:bCs/>
          <w:color w:val="000000"/>
          <w:kern w:val="0"/>
          <w:sz w:val="24"/>
        </w:rPr>
        <w:t>元</w:t>
      </w:r>
      <w:r>
        <w:rPr>
          <w:rFonts w:hint="eastAsia" w:ascii="仿宋" w:hAnsi="仿宋" w:eastAsia="仿宋" w:cs="仿宋"/>
          <w:bCs/>
          <w:color w:val="000000"/>
          <w:kern w:val="0"/>
          <w:sz w:val="24"/>
          <w:lang w:eastAsia="zh-CN"/>
        </w:rPr>
        <w:t>。</w:t>
      </w:r>
    </w:p>
    <w:p w14:paraId="01F99D7A">
      <w:pPr>
        <w:pStyle w:val="3"/>
        <w:keepNext w:val="0"/>
        <w:keepLines/>
        <w:pageBreakBefore w:val="0"/>
        <w:widowControl w:val="0"/>
        <w:kinsoku/>
        <w:wordWrap/>
        <w:overflowPunct/>
        <w:topLinePunct w:val="0"/>
        <w:autoSpaceDE/>
        <w:autoSpaceDN/>
        <w:bidi w:val="0"/>
        <w:adjustRightInd/>
        <w:snapToGrid/>
        <w:spacing w:before="157" w:beforeLines="50" w:after="0" w:line="360" w:lineRule="auto"/>
        <w:ind w:firstLine="482" w:firstLineChars="200"/>
        <w:textAlignment w:val="auto"/>
        <w:rPr>
          <w:rFonts w:hint="eastAsia" w:ascii="仿宋" w:hAnsi="仿宋" w:eastAsia="仿宋" w:cs="仿宋"/>
          <w:sz w:val="24"/>
          <w:szCs w:val="24"/>
          <w:lang w:val="en-US" w:eastAsia="zh-CN"/>
        </w:rPr>
      </w:pPr>
      <w:bookmarkStart w:id="5" w:name="_Toc32485"/>
      <w:r>
        <w:rPr>
          <w:rFonts w:hint="eastAsia" w:ascii="仿宋" w:hAnsi="仿宋" w:eastAsia="仿宋" w:cs="仿宋"/>
          <w:sz w:val="24"/>
          <w:szCs w:val="24"/>
          <w:lang w:val="en-US" w:eastAsia="zh-CN"/>
        </w:rPr>
        <w:t>四、提交投标文件截止时间、开标时间和地点</w:t>
      </w:r>
      <w:bookmarkEnd w:id="5"/>
    </w:p>
    <w:p w14:paraId="551B6C45">
      <w:pPr>
        <w:pageBreakBefore w:val="0"/>
        <w:kinsoku/>
        <w:wordWrap/>
        <w:overflowPunct/>
        <w:topLinePunct w:val="0"/>
        <w:bidi w:val="0"/>
        <w:snapToGrid/>
        <w:spacing w:line="360" w:lineRule="auto"/>
        <w:ind w:firstLine="480" w:firstLineChars="200"/>
        <w:textAlignment w:val="auto"/>
        <w:rPr>
          <w:rFonts w:hint="eastAsia" w:ascii="仿宋" w:hAnsi="仿宋" w:eastAsia="仿宋" w:cs="仿宋"/>
          <w:bCs/>
          <w:kern w:val="0"/>
          <w:sz w:val="24"/>
          <w:lang w:val="en-US" w:eastAsia="zh-CN"/>
        </w:rPr>
      </w:pPr>
      <w:bookmarkStart w:id="6" w:name="_Hlk130457395"/>
      <w:r>
        <w:rPr>
          <w:rFonts w:hint="eastAsia" w:ascii="仿宋" w:hAnsi="仿宋" w:eastAsia="仿宋" w:cs="仿宋"/>
          <w:bCs/>
          <w:kern w:val="0"/>
          <w:sz w:val="24"/>
          <w:lang w:val="en-US" w:eastAsia="zh-CN"/>
        </w:rPr>
        <w:t>1.开始时间：</w:t>
      </w:r>
      <w:r>
        <w:rPr>
          <w:rFonts w:hint="eastAsia" w:ascii="仿宋" w:hAnsi="仿宋" w:eastAsia="仿宋" w:cs="仿宋"/>
          <w:bCs/>
          <w:kern w:val="0"/>
          <w:sz w:val="24"/>
          <w:u w:val="single"/>
          <w:lang w:val="en-US" w:eastAsia="zh-CN"/>
        </w:rPr>
        <w:t>2025</w:t>
      </w:r>
      <w:r>
        <w:rPr>
          <w:rFonts w:hint="eastAsia" w:ascii="仿宋" w:hAnsi="仿宋" w:eastAsia="仿宋" w:cs="仿宋"/>
          <w:bCs/>
          <w:kern w:val="0"/>
          <w:sz w:val="24"/>
          <w:lang w:val="en-US" w:eastAsia="zh-CN"/>
        </w:rPr>
        <w:t>年</w:t>
      </w:r>
      <w:r>
        <w:rPr>
          <w:rFonts w:hint="eastAsia" w:ascii="仿宋" w:hAnsi="仿宋" w:eastAsia="仿宋" w:cs="仿宋"/>
          <w:bCs/>
          <w:kern w:val="0"/>
          <w:sz w:val="24"/>
          <w:u w:val="single"/>
          <w:lang w:val="en-US" w:eastAsia="zh-CN"/>
        </w:rPr>
        <w:t>4</w:t>
      </w:r>
      <w:r>
        <w:rPr>
          <w:rFonts w:hint="eastAsia" w:ascii="仿宋" w:hAnsi="仿宋" w:eastAsia="仿宋" w:cs="仿宋"/>
          <w:bCs/>
          <w:kern w:val="0"/>
          <w:sz w:val="24"/>
          <w:lang w:val="en-US" w:eastAsia="zh-CN"/>
        </w:rPr>
        <w:t>月</w:t>
      </w:r>
      <w:r>
        <w:rPr>
          <w:rFonts w:hint="eastAsia" w:ascii="仿宋" w:hAnsi="仿宋" w:eastAsia="仿宋" w:cs="仿宋"/>
          <w:bCs/>
          <w:kern w:val="0"/>
          <w:sz w:val="24"/>
          <w:u w:val="single"/>
          <w:lang w:val="en-US" w:eastAsia="zh-CN"/>
        </w:rPr>
        <w:t>29</w:t>
      </w:r>
      <w:r>
        <w:rPr>
          <w:rFonts w:hint="eastAsia" w:ascii="仿宋" w:hAnsi="仿宋" w:eastAsia="仿宋" w:cs="仿宋"/>
          <w:bCs/>
          <w:kern w:val="0"/>
          <w:sz w:val="24"/>
          <w:lang w:val="en-US" w:eastAsia="zh-CN"/>
        </w:rPr>
        <w:t>日</w:t>
      </w:r>
      <w:r>
        <w:rPr>
          <w:rFonts w:hint="eastAsia" w:ascii="仿宋" w:hAnsi="仿宋" w:eastAsia="仿宋" w:cs="仿宋"/>
          <w:bCs/>
          <w:kern w:val="0"/>
          <w:sz w:val="24"/>
          <w:u w:val="single"/>
          <w:lang w:val="en-US" w:eastAsia="zh-CN"/>
        </w:rPr>
        <w:t>09</w:t>
      </w:r>
      <w:r>
        <w:rPr>
          <w:rFonts w:hint="eastAsia" w:ascii="仿宋" w:hAnsi="仿宋" w:eastAsia="仿宋" w:cs="仿宋"/>
          <w:bCs/>
          <w:kern w:val="0"/>
          <w:sz w:val="24"/>
          <w:lang w:val="en-US" w:eastAsia="zh-CN"/>
        </w:rPr>
        <w:t>点</w:t>
      </w:r>
      <w:r>
        <w:rPr>
          <w:rFonts w:hint="eastAsia" w:ascii="仿宋" w:hAnsi="仿宋" w:eastAsia="仿宋" w:cs="仿宋"/>
          <w:bCs/>
          <w:kern w:val="0"/>
          <w:sz w:val="24"/>
          <w:u w:val="single"/>
          <w:lang w:val="en-US" w:eastAsia="zh-CN"/>
        </w:rPr>
        <w:t>00</w:t>
      </w:r>
      <w:r>
        <w:rPr>
          <w:rFonts w:hint="eastAsia" w:ascii="仿宋" w:hAnsi="仿宋" w:eastAsia="仿宋" w:cs="仿宋"/>
          <w:bCs/>
          <w:kern w:val="0"/>
          <w:sz w:val="24"/>
          <w:lang w:val="en-US" w:eastAsia="zh-CN"/>
        </w:rPr>
        <w:t>分（北京时间）</w:t>
      </w:r>
    </w:p>
    <w:p w14:paraId="6DBE2392">
      <w:pPr>
        <w:pageBreakBefore w:val="0"/>
        <w:kinsoku/>
        <w:wordWrap/>
        <w:overflowPunct/>
        <w:topLinePunct w:val="0"/>
        <w:bidi w:val="0"/>
        <w:snapToGrid/>
        <w:spacing w:line="360" w:lineRule="auto"/>
        <w:ind w:firstLine="480" w:firstLineChars="200"/>
        <w:textAlignment w:val="auto"/>
        <w:rPr>
          <w:rFonts w:hint="eastAsia" w:ascii="仿宋" w:hAnsi="仿宋" w:eastAsia="仿宋" w:cs="仿宋"/>
          <w:bCs/>
          <w:kern w:val="0"/>
          <w:sz w:val="24"/>
          <w:lang w:val="en-US" w:eastAsia="zh-CN"/>
        </w:rPr>
      </w:pPr>
      <w:r>
        <w:rPr>
          <w:rFonts w:hint="eastAsia" w:ascii="仿宋" w:hAnsi="仿宋" w:eastAsia="仿宋" w:cs="仿宋"/>
          <w:bCs/>
          <w:kern w:val="0"/>
          <w:sz w:val="24"/>
          <w:lang w:val="en-US" w:eastAsia="zh-CN"/>
        </w:rPr>
        <w:t>2.截止时间：</w:t>
      </w:r>
      <w:r>
        <w:rPr>
          <w:rFonts w:hint="eastAsia" w:ascii="仿宋" w:hAnsi="仿宋" w:eastAsia="仿宋" w:cs="仿宋"/>
          <w:bCs/>
          <w:kern w:val="0"/>
          <w:sz w:val="24"/>
          <w:u w:val="single"/>
          <w:lang w:val="en-US" w:eastAsia="zh-CN"/>
        </w:rPr>
        <w:t>2025</w:t>
      </w:r>
      <w:r>
        <w:rPr>
          <w:rFonts w:hint="eastAsia" w:ascii="仿宋" w:hAnsi="仿宋" w:eastAsia="仿宋" w:cs="仿宋"/>
          <w:bCs/>
          <w:kern w:val="0"/>
          <w:sz w:val="24"/>
          <w:lang w:val="en-US" w:eastAsia="zh-CN"/>
        </w:rPr>
        <w:t>年</w:t>
      </w:r>
      <w:r>
        <w:rPr>
          <w:rFonts w:hint="eastAsia" w:ascii="仿宋" w:hAnsi="仿宋" w:eastAsia="仿宋" w:cs="仿宋"/>
          <w:bCs/>
          <w:kern w:val="0"/>
          <w:sz w:val="24"/>
          <w:u w:val="single"/>
          <w:lang w:val="en-US" w:eastAsia="zh-CN"/>
        </w:rPr>
        <w:t>4</w:t>
      </w:r>
      <w:r>
        <w:rPr>
          <w:rFonts w:hint="eastAsia" w:ascii="仿宋" w:hAnsi="仿宋" w:eastAsia="仿宋" w:cs="仿宋"/>
          <w:bCs/>
          <w:kern w:val="0"/>
          <w:sz w:val="24"/>
          <w:lang w:val="en-US" w:eastAsia="zh-CN"/>
        </w:rPr>
        <w:t>月</w:t>
      </w:r>
      <w:r>
        <w:rPr>
          <w:rFonts w:hint="eastAsia" w:ascii="仿宋" w:hAnsi="仿宋" w:eastAsia="仿宋" w:cs="仿宋"/>
          <w:bCs/>
          <w:kern w:val="0"/>
          <w:sz w:val="24"/>
          <w:u w:val="single"/>
          <w:lang w:val="en-US" w:eastAsia="zh-CN"/>
        </w:rPr>
        <w:t>29</w:t>
      </w:r>
      <w:r>
        <w:rPr>
          <w:rFonts w:hint="eastAsia" w:ascii="仿宋" w:hAnsi="仿宋" w:eastAsia="仿宋" w:cs="仿宋"/>
          <w:bCs/>
          <w:kern w:val="0"/>
          <w:sz w:val="24"/>
          <w:lang w:val="en-US" w:eastAsia="zh-CN"/>
        </w:rPr>
        <w:t>日</w:t>
      </w:r>
      <w:r>
        <w:rPr>
          <w:rFonts w:hint="eastAsia" w:ascii="仿宋" w:hAnsi="仿宋" w:eastAsia="仿宋" w:cs="仿宋"/>
          <w:bCs/>
          <w:kern w:val="0"/>
          <w:sz w:val="24"/>
          <w:u w:val="single"/>
          <w:lang w:val="en-US" w:eastAsia="zh-CN"/>
        </w:rPr>
        <w:t>09</w:t>
      </w:r>
      <w:r>
        <w:rPr>
          <w:rFonts w:hint="eastAsia" w:ascii="仿宋" w:hAnsi="仿宋" w:eastAsia="仿宋" w:cs="仿宋"/>
          <w:bCs/>
          <w:kern w:val="0"/>
          <w:sz w:val="24"/>
          <w:lang w:val="en-US" w:eastAsia="zh-CN"/>
        </w:rPr>
        <w:t>点</w:t>
      </w:r>
      <w:r>
        <w:rPr>
          <w:rFonts w:hint="eastAsia" w:ascii="仿宋" w:hAnsi="仿宋" w:eastAsia="仿宋" w:cs="仿宋"/>
          <w:bCs/>
          <w:kern w:val="0"/>
          <w:sz w:val="24"/>
          <w:u w:val="single"/>
          <w:lang w:val="en-US" w:eastAsia="zh-CN"/>
        </w:rPr>
        <w:t>30</w:t>
      </w:r>
      <w:r>
        <w:rPr>
          <w:rFonts w:hint="eastAsia" w:ascii="仿宋" w:hAnsi="仿宋" w:eastAsia="仿宋" w:cs="仿宋"/>
          <w:bCs/>
          <w:kern w:val="0"/>
          <w:sz w:val="24"/>
          <w:lang w:val="en-US" w:eastAsia="zh-CN"/>
        </w:rPr>
        <w:t>分（北京时间）</w:t>
      </w:r>
    </w:p>
    <w:p w14:paraId="1E2174A0">
      <w:pPr>
        <w:pageBreakBefore w:val="0"/>
        <w:kinsoku/>
        <w:wordWrap/>
        <w:overflowPunct/>
        <w:topLinePunct w:val="0"/>
        <w:bidi w:val="0"/>
        <w:snapToGrid/>
        <w:spacing w:line="360" w:lineRule="auto"/>
        <w:ind w:firstLine="480" w:firstLineChars="200"/>
        <w:textAlignment w:val="auto"/>
        <w:rPr>
          <w:rFonts w:hint="eastAsia" w:ascii="仿宋" w:hAnsi="仿宋" w:eastAsia="仿宋" w:cs="仿宋"/>
          <w:bCs/>
          <w:kern w:val="0"/>
          <w:sz w:val="24"/>
          <w:lang w:val="en-US" w:eastAsia="zh-CN"/>
        </w:rPr>
      </w:pPr>
      <w:r>
        <w:rPr>
          <w:rFonts w:hint="eastAsia" w:ascii="仿宋" w:hAnsi="仿宋" w:eastAsia="仿宋" w:cs="仿宋"/>
          <w:bCs/>
          <w:kern w:val="0"/>
          <w:sz w:val="24"/>
          <w:lang w:val="en-US" w:eastAsia="zh-CN"/>
        </w:rPr>
        <w:t>3.地点：湖北省武汉市江岸区马祖路17号9楼开标室</w:t>
      </w:r>
    </w:p>
    <w:bookmarkEnd w:id="6"/>
    <w:p w14:paraId="7596BBC3">
      <w:pPr>
        <w:pStyle w:val="3"/>
        <w:keepNext/>
        <w:keepLines/>
        <w:pageBreakBefore w:val="0"/>
        <w:widowControl w:val="0"/>
        <w:kinsoku/>
        <w:wordWrap/>
        <w:overflowPunct/>
        <w:topLinePunct w:val="0"/>
        <w:autoSpaceDE/>
        <w:autoSpaceDN/>
        <w:bidi w:val="0"/>
        <w:adjustRightInd/>
        <w:snapToGrid/>
        <w:spacing w:before="157" w:beforeLines="50" w:after="0" w:line="360" w:lineRule="auto"/>
        <w:ind w:firstLine="482" w:firstLineChars="200"/>
        <w:textAlignment w:val="auto"/>
        <w:rPr>
          <w:rFonts w:hint="eastAsia" w:ascii="仿宋" w:hAnsi="仿宋" w:eastAsia="仿宋" w:cs="仿宋"/>
          <w:sz w:val="24"/>
          <w:szCs w:val="24"/>
          <w:lang w:val="en-US" w:eastAsia="zh-CN"/>
        </w:rPr>
      </w:pPr>
      <w:bookmarkStart w:id="7" w:name="_Toc27756"/>
      <w:r>
        <w:rPr>
          <w:rFonts w:hint="eastAsia" w:ascii="仿宋" w:hAnsi="仿宋" w:eastAsia="仿宋" w:cs="仿宋"/>
          <w:sz w:val="24"/>
          <w:szCs w:val="24"/>
          <w:lang w:val="en-US" w:eastAsia="zh-CN"/>
        </w:rPr>
        <w:t>五、公告期限</w:t>
      </w:r>
      <w:bookmarkEnd w:id="7"/>
    </w:p>
    <w:p w14:paraId="4E1EF052">
      <w:pPr>
        <w:pageBreakBefore w:val="0"/>
        <w:kinsoku/>
        <w:wordWrap/>
        <w:overflowPunct/>
        <w:topLinePunct w:val="0"/>
        <w:bidi w:val="0"/>
        <w:snapToGrid/>
        <w:spacing w:line="360" w:lineRule="auto"/>
        <w:ind w:firstLine="480" w:firstLineChars="200"/>
        <w:textAlignment w:val="auto"/>
        <w:rPr>
          <w:rFonts w:ascii="仿宋" w:hAnsi="仿宋" w:eastAsia="仿宋" w:cs="仿宋"/>
          <w:color w:val="000000"/>
          <w:kern w:val="0"/>
          <w:sz w:val="24"/>
        </w:rPr>
      </w:pPr>
      <w:r>
        <w:rPr>
          <w:rFonts w:hint="eastAsia" w:ascii="仿宋" w:hAnsi="仿宋" w:eastAsia="仿宋" w:cs="仿宋"/>
          <w:color w:val="000000"/>
          <w:kern w:val="0"/>
          <w:sz w:val="24"/>
        </w:rPr>
        <w:t>自本公告发布之日起5个工作日。</w:t>
      </w:r>
    </w:p>
    <w:p w14:paraId="74B47EC7">
      <w:pPr>
        <w:pStyle w:val="3"/>
        <w:keepNext/>
        <w:keepLines/>
        <w:pageBreakBefore w:val="0"/>
        <w:widowControl w:val="0"/>
        <w:kinsoku/>
        <w:wordWrap/>
        <w:overflowPunct/>
        <w:topLinePunct w:val="0"/>
        <w:autoSpaceDE/>
        <w:autoSpaceDN/>
        <w:bidi w:val="0"/>
        <w:adjustRightInd/>
        <w:snapToGrid/>
        <w:spacing w:before="157" w:beforeLines="50" w:after="0" w:line="360" w:lineRule="auto"/>
        <w:ind w:firstLine="482" w:firstLineChars="200"/>
        <w:textAlignment w:val="auto"/>
        <w:rPr>
          <w:rFonts w:hint="eastAsia" w:ascii="仿宋" w:hAnsi="仿宋" w:eastAsia="仿宋" w:cs="仿宋"/>
          <w:sz w:val="24"/>
          <w:szCs w:val="24"/>
          <w:lang w:val="en-US" w:eastAsia="zh-CN"/>
        </w:rPr>
      </w:pPr>
      <w:bookmarkStart w:id="8" w:name="_Toc12945"/>
      <w:r>
        <w:rPr>
          <w:rFonts w:hint="eastAsia" w:ascii="仿宋" w:hAnsi="仿宋" w:eastAsia="仿宋" w:cs="仿宋"/>
          <w:sz w:val="24"/>
          <w:szCs w:val="24"/>
          <w:lang w:val="en-US" w:eastAsia="zh-CN"/>
        </w:rPr>
        <w:t>六、其他补充事宜</w:t>
      </w:r>
      <w:bookmarkEnd w:id="8"/>
    </w:p>
    <w:p w14:paraId="22462C31">
      <w:pPr>
        <w:pageBreakBefore w:val="0"/>
        <w:widowControl/>
        <w:kinsoku/>
        <w:wordWrap/>
        <w:overflowPunct/>
        <w:topLinePunct w:val="0"/>
        <w:bidi w:val="0"/>
        <w:snapToGrid/>
        <w:spacing w:line="360" w:lineRule="auto"/>
        <w:ind w:firstLine="480" w:firstLineChars="200"/>
        <w:jc w:val="left"/>
        <w:textAlignment w:val="auto"/>
        <w:rPr>
          <w:rFonts w:ascii="仿宋" w:hAnsi="仿宋" w:eastAsia="仿宋" w:cs="仿宋"/>
          <w:color w:val="000000"/>
          <w:kern w:val="0"/>
          <w:sz w:val="24"/>
        </w:rPr>
      </w:pPr>
      <w:r>
        <w:rPr>
          <w:rFonts w:hint="eastAsia" w:ascii="仿宋" w:hAnsi="仿宋" w:eastAsia="仿宋" w:cs="仿宋"/>
          <w:color w:val="000000"/>
          <w:kern w:val="0"/>
          <w:sz w:val="24"/>
        </w:rPr>
        <w:t>本项目需落实的节能环保、中小微型企业扶持（含支持监狱企业发展、促进残疾人就业）等相关政府采购政策详见招标文件，符合条件的小微企业价格扣除优惠为：10%。</w:t>
      </w:r>
    </w:p>
    <w:p w14:paraId="7AA68E6D">
      <w:pPr>
        <w:pStyle w:val="3"/>
        <w:keepNext/>
        <w:keepLines/>
        <w:pageBreakBefore w:val="0"/>
        <w:widowControl w:val="0"/>
        <w:kinsoku/>
        <w:wordWrap/>
        <w:overflowPunct/>
        <w:topLinePunct w:val="0"/>
        <w:autoSpaceDE/>
        <w:autoSpaceDN/>
        <w:bidi w:val="0"/>
        <w:adjustRightInd/>
        <w:snapToGrid/>
        <w:spacing w:before="157" w:beforeLines="50" w:after="0" w:line="360" w:lineRule="auto"/>
        <w:ind w:firstLine="482" w:firstLineChars="200"/>
        <w:textAlignment w:val="auto"/>
        <w:rPr>
          <w:rFonts w:hint="eastAsia" w:ascii="仿宋" w:hAnsi="仿宋" w:eastAsia="仿宋" w:cs="仿宋"/>
          <w:sz w:val="24"/>
          <w:szCs w:val="24"/>
          <w:lang w:val="en-US" w:eastAsia="zh-CN"/>
        </w:rPr>
      </w:pPr>
      <w:bookmarkStart w:id="9" w:name="_Toc19874"/>
      <w:r>
        <w:rPr>
          <w:rFonts w:hint="eastAsia" w:ascii="仿宋" w:hAnsi="仿宋" w:eastAsia="仿宋" w:cs="仿宋"/>
          <w:sz w:val="24"/>
          <w:szCs w:val="24"/>
          <w:lang w:val="en-US" w:eastAsia="zh-CN"/>
        </w:rPr>
        <w:t>七、对本次招标提出询问，请按以下方式联系</w:t>
      </w:r>
      <w:bookmarkEnd w:id="9"/>
    </w:p>
    <w:p w14:paraId="4D0464AC">
      <w:pPr>
        <w:widowControl/>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1.采购人信息</w:t>
      </w:r>
    </w:p>
    <w:p w14:paraId="1732E466">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名称：武汉市中心医院工会委员会</w:t>
      </w:r>
    </w:p>
    <w:p w14:paraId="65BFB879">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地址：武汉市江岸区胜利街26号</w:t>
      </w:r>
    </w:p>
    <w:p w14:paraId="1412F6A6">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联系方式：027-82201752</w:t>
      </w:r>
    </w:p>
    <w:p w14:paraId="4E9EABEA">
      <w:pPr>
        <w:widowControl/>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2.采购代理机构信息</w:t>
      </w:r>
    </w:p>
    <w:p w14:paraId="2407ABDA">
      <w:pPr>
        <w:widowControl/>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名称：湖北中联太工程造价咨询有限公司</w:t>
      </w:r>
    </w:p>
    <w:p w14:paraId="22583805">
      <w:pPr>
        <w:widowControl/>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地址：</w:t>
      </w:r>
      <w:r>
        <w:rPr>
          <w:rFonts w:hint="eastAsia" w:ascii="仿宋" w:hAnsi="仿宋" w:eastAsia="仿宋" w:cs="仿宋"/>
          <w:color w:val="000000"/>
          <w:kern w:val="0"/>
          <w:sz w:val="24"/>
          <w:lang w:val="en-US" w:eastAsia="zh-CN"/>
        </w:rPr>
        <w:t>湖北省</w:t>
      </w:r>
      <w:r>
        <w:rPr>
          <w:rFonts w:hint="eastAsia" w:ascii="仿宋" w:hAnsi="仿宋" w:eastAsia="仿宋" w:cs="仿宋"/>
          <w:color w:val="000000"/>
          <w:kern w:val="0"/>
          <w:sz w:val="24"/>
        </w:rPr>
        <w:t>武汉市江岸区马祖路17号9楼</w:t>
      </w:r>
    </w:p>
    <w:p w14:paraId="769E99DC">
      <w:pPr>
        <w:widowControl/>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联系方式：027-85492633/027-85492605</w:t>
      </w:r>
    </w:p>
    <w:p w14:paraId="5B0681F0">
      <w:pPr>
        <w:widowControl/>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3.项目联系方式</w:t>
      </w:r>
    </w:p>
    <w:p w14:paraId="1042516D">
      <w:pPr>
        <w:widowControl/>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项目联系人：宫永鑫、郑思成、邓若渔、史欢、李健敏、盛其昌、胡佳康、马晶晶</w:t>
      </w:r>
    </w:p>
    <w:p w14:paraId="48C4DB7E">
      <w:pPr>
        <w:widowControl/>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电话：027-85492633/027-85492605</w:t>
      </w:r>
    </w:p>
    <w:p w14:paraId="285FF74F">
      <w:pPr>
        <w:widowControl/>
        <w:spacing w:line="360" w:lineRule="auto"/>
        <w:rPr>
          <w:rFonts w:ascii="仿宋" w:hAnsi="仿宋" w:eastAsia="仿宋" w:cs="仿宋"/>
        </w:rPr>
      </w:pPr>
      <w:r>
        <w:rPr>
          <w:rFonts w:hint="eastAsia" w:ascii="仿宋" w:hAnsi="仿宋" w:eastAsia="仿宋" w:cs="仿宋"/>
        </w:rPr>
        <w:br w:type="page"/>
      </w:r>
    </w:p>
    <w:p w14:paraId="6E69740D">
      <w:pPr>
        <w:pStyle w:val="2"/>
        <w:keepNext/>
        <w:keepLines/>
        <w:pageBreakBefore w:val="0"/>
        <w:widowControl w:val="0"/>
        <w:numPr>
          <w:ilvl w:val="0"/>
          <w:numId w:val="4"/>
        </w:numPr>
        <w:kinsoku/>
        <w:wordWrap/>
        <w:overflowPunct/>
        <w:topLinePunct w:val="0"/>
        <w:autoSpaceDE w:val="0"/>
        <w:autoSpaceDN w:val="0"/>
        <w:bidi w:val="0"/>
        <w:adjustRightInd w:val="0"/>
        <w:snapToGrid/>
        <w:spacing w:before="120" w:after="120" w:line="360" w:lineRule="auto"/>
        <w:textAlignment w:val="auto"/>
        <w:rPr>
          <w:rFonts w:hint="eastAsia" w:ascii="黑体" w:hAnsi="黑体" w:eastAsia="黑体" w:cs="黑体"/>
          <w:color w:val="000000"/>
          <w:sz w:val="32"/>
          <w:szCs w:val="32"/>
        </w:rPr>
      </w:pPr>
      <w:bookmarkStart w:id="10" w:name="_Toc18142"/>
      <w:bookmarkStart w:id="11" w:name="_Toc9951"/>
      <w:bookmarkStart w:id="12" w:name="_Toc249080524"/>
      <w:r>
        <w:rPr>
          <w:rFonts w:hint="eastAsia" w:ascii="黑体" w:hAnsi="黑体" w:eastAsia="黑体" w:cs="黑体"/>
          <w:color w:val="000000"/>
          <w:sz w:val="32"/>
          <w:szCs w:val="32"/>
        </w:rPr>
        <w:t>投标人须知</w:t>
      </w:r>
      <w:bookmarkEnd w:id="10"/>
      <w:bookmarkEnd w:id="11"/>
      <w:bookmarkEnd w:id="12"/>
    </w:p>
    <w:p w14:paraId="595A97BE">
      <w:pPr>
        <w:pStyle w:val="3"/>
        <w:keepNext/>
        <w:keepLines/>
        <w:pageBreakBefore w:val="0"/>
        <w:widowControl w:val="0"/>
        <w:kinsoku/>
        <w:wordWrap/>
        <w:overflowPunct/>
        <w:topLinePunct w:val="0"/>
        <w:autoSpaceDE w:val="0"/>
        <w:autoSpaceDN w:val="0"/>
        <w:bidi w:val="0"/>
        <w:adjustRightInd w:val="0"/>
        <w:snapToGrid/>
        <w:spacing w:before="157" w:beforeLines="50" w:after="0" w:line="360" w:lineRule="auto"/>
        <w:ind w:firstLine="643" w:firstLineChars="200"/>
        <w:jc w:val="both"/>
        <w:textAlignment w:val="auto"/>
        <w:outlineLvl w:val="1"/>
        <w:rPr>
          <w:rFonts w:hint="eastAsia" w:ascii="仿宋" w:hAnsi="仿宋" w:eastAsia="仿宋" w:cs="仿宋"/>
          <w:sz w:val="32"/>
          <w:szCs w:val="32"/>
          <w:lang w:val="en-US" w:eastAsia="zh-CN"/>
        </w:rPr>
      </w:pPr>
      <w:bookmarkStart w:id="13" w:name="_Toc114376960"/>
      <w:bookmarkStart w:id="14" w:name="_Toc262712195"/>
      <w:bookmarkStart w:id="15" w:name="_Toc114371485"/>
      <w:bookmarkStart w:id="16" w:name="_Toc112752857"/>
      <w:bookmarkStart w:id="17" w:name="_Toc58665087"/>
      <w:bookmarkStart w:id="18" w:name="_Toc114916917"/>
      <w:bookmarkStart w:id="19" w:name="_Toc23959"/>
      <w:bookmarkStart w:id="20" w:name="_Toc78098297"/>
      <w:bookmarkStart w:id="21" w:name="_Toc114371636"/>
      <w:bookmarkStart w:id="22" w:name="_Toc336606157"/>
      <w:bookmarkStart w:id="23" w:name="_Toc114916856"/>
      <w:bookmarkStart w:id="24" w:name="_Toc114375826"/>
      <w:bookmarkStart w:id="25" w:name="_Toc114887863"/>
      <w:bookmarkStart w:id="26" w:name="_Toc117397744"/>
      <w:bookmarkStart w:id="27" w:name="_Toc29298"/>
      <w:bookmarkStart w:id="28" w:name="_Toc775"/>
      <w:r>
        <w:rPr>
          <w:rFonts w:hint="eastAsia" w:ascii="仿宋" w:hAnsi="仿宋" w:eastAsia="仿宋" w:cs="仿宋"/>
          <w:sz w:val="32"/>
          <w:szCs w:val="32"/>
          <w:lang w:val="en-US" w:eastAsia="zh-CN"/>
        </w:rPr>
        <w:t>一、《投标人须知前附表</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Fonts w:hint="eastAsia" w:ascii="仿宋" w:hAnsi="仿宋" w:eastAsia="仿宋" w:cs="仿宋"/>
          <w:sz w:val="32"/>
          <w:szCs w:val="32"/>
          <w:lang w:val="en-US" w:eastAsia="zh-CN"/>
        </w:rPr>
        <w:t>》</w:t>
      </w:r>
      <w:bookmarkEnd w:id="28"/>
    </w:p>
    <w:p w14:paraId="16026ECD">
      <w:pPr>
        <w:autoSpaceDE w:val="0"/>
        <w:autoSpaceDN w:val="0"/>
        <w:adjustRightInd w:val="0"/>
        <w:spacing w:line="360" w:lineRule="auto"/>
        <w:ind w:firstLine="540" w:firstLineChars="225"/>
        <w:rPr>
          <w:rFonts w:hint="eastAsia" w:ascii="仿宋" w:hAnsi="仿宋" w:eastAsia="仿宋" w:cs="仿宋"/>
          <w:color w:val="000000"/>
          <w:sz w:val="24"/>
          <w:lang w:val="zh-CN"/>
        </w:rPr>
      </w:pPr>
      <w:r>
        <w:rPr>
          <w:rFonts w:hint="eastAsia" w:ascii="仿宋" w:hAnsi="仿宋" w:eastAsia="仿宋" w:cs="仿宋"/>
          <w:color w:val="000000"/>
          <w:sz w:val="24"/>
          <w:lang w:val="zh-CN"/>
        </w:rPr>
        <w:t>投标人应仔细阅读本招标文件的第二章“投标人须知”，下面所列资料是对“投标人须知”的具体补充和说明。如有矛盾，应以本表为准。</w:t>
      </w:r>
    </w:p>
    <w:tbl>
      <w:tblPr>
        <w:tblStyle w:val="49"/>
        <w:tblW w:w="4991"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57" w:type="dxa"/>
          <w:left w:w="108" w:type="dxa"/>
          <w:bottom w:w="57" w:type="dxa"/>
          <w:right w:w="108" w:type="dxa"/>
        </w:tblCellMar>
      </w:tblPr>
      <w:tblGrid>
        <w:gridCol w:w="961"/>
        <w:gridCol w:w="1807"/>
        <w:gridCol w:w="5740"/>
      </w:tblGrid>
      <w:tr w14:paraId="1588EA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blHeader/>
        </w:trPr>
        <w:tc>
          <w:tcPr>
            <w:tcW w:w="565"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69DBD3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条款号</w:t>
            </w:r>
          </w:p>
        </w:tc>
        <w:tc>
          <w:tcPr>
            <w:tcW w:w="1062"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8A2124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371"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484A088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内容</w:t>
            </w:r>
          </w:p>
        </w:tc>
      </w:tr>
      <w:tr w14:paraId="4861D9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tcBorders>
              <w:top w:val="single" w:color="auto" w:sz="4" w:space="0"/>
            </w:tcBorders>
            <w:vAlign w:val="center"/>
          </w:tcPr>
          <w:p w14:paraId="1AE0F48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62" w:type="pct"/>
            <w:tcBorders>
              <w:top w:val="single" w:color="auto" w:sz="4" w:space="0"/>
            </w:tcBorders>
            <w:vAlign w:val="center"/>
          </w:tcPr>
          <w:p w14:paraId="1E791B1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采购人</w:t>
            </w:r>
          </w:p>
        </w:tc>
        <w:tc>
          <w:tcPr>
            <w:tcW w:w="3371" w:type="pct"/>
            <w:tcBorders>
              <w:top w:val="single" w:color="auto" w:sz="4" w:space="0"/>
            </w:tcBorders>
            <w:vAlign w:val="center"/>
          </w:tcPr>
          <w:p w14:paraId="7CCFFB66">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sz w:val="24"/>
                <w:szCs w:val="24"/>
                <w:lang w:val="en-US" w:eastAsia="zh-CN"/>
              </w:rPr>
            </w:pPr>
            <w:r>
              <w:rPr>
                <w:rFonts w:hint="eastAsia" w:ascii="仿宋" w:hAnsi="仿宋" w:eastAsia="仿宋" w:cs="仿宋"/>
                <w:bCs/>
                <w:color w:val="auto"/>
                <w:kern w:val="0"/>
                <w:sz w:val="24"/>
                <w:highlight w:val="none"/>
              </w:rPr>
              <w:t>武汉市中心医院工会委员会</w:t>
            </w:r>
          </w:p>
        </w:tc>
      </w:tr>
      <w:tr w14:paraId="2E07ED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6F7D8F2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062" w:type="pct"/>
            <w:vAlign w:val="center"/>
          </w:tcPr>
          <w:p w14:paraId="54A3530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采购代理机构</w:t>
            </w:r>
          </w:p>
        </w:tc>
        <w:tc>
          <w:tcPr>
            <w:tcW w:w="3371" w:type="pct"/>
            <w:vAlign w:val="center"/>
          </w:tcPr>
          <w:p w14:paraId="5E718067">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bCs/>
                <w:color w:val="000000"/>
                <w:kern w:val="0"/>
                <w:sz w:val="24"/>
                <w:szCs w:val="24"/>
              </w:rPr>
              <w:t>湖北中联太工程造价咨询有限公司</w:t>
            </w:r>
          </w:p>
        </w:tc>
      </w:tr>
      <w:tr w14:paraId="12A5E5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23A7E07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062" w:type="pct"/>
            <w:vAlign w:val="center"/>
          </w:tcPr>
          <w:p w14:paraId="7381A9C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监督管理部门</w:t>
            </w:r>
          </w:p>
        </w:tc>
        <w:tc>
          <w:tcPr>
            <w:tcW w:w="3371" w:type="pct"/>
            <w:vAlign w:val="center"/>
          </w:tcPr>
          <w:p w14:paraId="184A1BCA">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sz w:val="24"/>
                <w:szCs w:val="24"/>
                <w:lang w:val="en-US"/>
              </w:rPr>
            </w:pPr>
            <w:r>
              <w:rPr>
                <w:rFonts w:hint="eastAsia" w:ascii="仿宋" w:hAnsi="仿宋" w:eastAsia="仿宋" w:cs="仿宋"/>
                <w:bCs/>
                <w:color w:val="auto"/>
                <w:kern w:val="0"/>
                <w:sz w:val="24"/>
                <w:highlight w:val="none"/>
              </w:rPr>
              <w:t>武汉市中心医院相关监督管理部门</w:t>
            </w:r>
          </w:p>
        </w:tc>
      </w:tr>
      <w:tr w14:paraId="6B9A44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4CD6DEE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062" w:type="pct"/>
            <w:vAlign w:val="center"/>
          </w:tcPr>
          <w:p w14:paraId="646CF86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3371" w:type="pct"/>
            <w:vAlign w:val="center"/>
          </w:tcPr>
          <w:p w14:paraId="7F63855C">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武汉市中心医院退休职工2025年-2026年纪念品采购项目</w:t>
            </w:r>
          </w:p>
        </w:tc>
      </w:tr>
      <w:tr w14:paraId="322B79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265EF9D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62" w:type="pct"/>
            <w:vAlign w:val="center"/>
          </w:tcPr>
          <w:p w14:paraId="46889EA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项目地点</w:t>
            </w:r>
          </w:p>
        </w:tc>
        <w:tc>
          <w:tcPr>
            <w:tcW w:w="3371" w:type="pct"/>
            <w:vAlign w:val="center"/>
          </w:tcPr>
          <w:p w14:paraId="661FA05B">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采购人指定地点</w:t>
            </w:r>
          </w:p>
        </w:tc>
      </w:tr>
      <w:tr w14:paraId="7A0F54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459B930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062" w:type="pct"/>
            <w:vAlign w:val="center"/>
          </w:tcPr>
          <w:p w14:paraId="2A054E0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项目内容</w:t>
            </w:r>
          </w:p>
        </w:tc>
        <w:tc>
          <w:tcPr>
            <w:tcW w:w="3371" w:type="pct"/>
            <w:vAlign w:val="center"/>
          </w:tcPr>
          <w:p w14:paraId="0BD2E31D">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val="en-US" w:eastAsia="zh-CN"/>
              </w:rPr>
            </w:pPr>
            <w:r>
              <w:rPr>
                <w:rFonts w:hint="eastAsia" w:ascii="仿宋" w:hAnsi="仿宋" w:eastAsia="仿宋" w:cs="仿宋"/>
                <w:color w:val="auto"/>
                <w:sz w:val="24"/>
                <w:highlight w:val="none"/>
                <w:lang w:val="zh-CN"/>
              </w:rPr>
              <w:t>按照采购人提供的需求，完成实施及全部货物的供货和相关服务等。</w:t>
            </w:r>
          </w:p>
        </w:tc>
      </w:tr>
      <w:tr w14:paraId="7962C8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726065A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062" w:type="pct"/>
            <w:vAlign w:val="center"/>
          </w:tcPr>
          <w:p w14:paraId="03FEC59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项目属性</w:t>
            </w:r>
          </w:p>
        </w:tc>
        <w:tc>
          <w:tcPr>
            <w:tcW w:w="3371" w:type="pct"/>
            <w:vAlign w:val="center"/>
          </w:tcPr>
          <w:p w14:paraId="02FED3B9">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货物</w:t>
            </w:r>
          </w:p>
        </w:tc>
      </w:tr>
      <w:tr w14:paraId="22EEB7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20DEDCA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062" w:type="pct"/>
            <w:vAlign w:val="center"/>
          </w:tcPr>
          <w:p w14:paraId="71D2F69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资金来源</w:t>
            </w:r>
          </w:p>
        </w:tc>
        <w:tc>
          <w:tcPr>
            <w:tcW w:w="3371" w:type="pct"/>
            <w:vAlign w:val="center"/>
          </w:tcPr>
          <w:p w14:paraId="619DAB73">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已落实</w:t>
            </w:r>
          </w:p>
        </w:tc>
      </w:tr>
      <w:tr w14:paraId="409432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4024A61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062" w:type="pct"/>
            <w:vAlign w:val="center"/>
          </w:tcPr>
          <w:p w14:paraId="3CA78F8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投标人资格</w:t>
            </w:r>
          </w:p>
          <w:p w14:paraId="1BFD344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要求</w:t>
            </w:r>
          </w:p>
        </w:tc>
        <w:tc>
          <w:tcPr>
            <w:tcW w:w="3371" w:type="pct"/>
            <w:vAlign w:val="center"/>
          </w:tcPr>
          <w:p w14:paraId="65E8AABB">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详见第一章“投标邀请”第二项“投标人资格要求”</w:t>
            </w:r>
          </w:p>
        </w:tc>
      </w:tr>
      <w:tr w14:paraId="2529DB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69BBE34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062" w:type="pct"/>
            <w:vAlign w:val="center"/>
          </w:tcPr>
          <w:p w14:paraId="21F36AB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是否接受</w:t>
            </w:r>
          </w:p>
          <w:p w14:paraId="2C6274F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联合体投标</w:t>
            </w:r>
          </w:p>
        </w:tc>
        <w:tc>
          <w:tcPr>
            <w:tcW w:w="3371" w:type="pct"/>
            <w:vAlign w:val="center"/>
          </w:tcPr>
          <w:p w14:paraId="6B1CCD80">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不接受</w:t>
            </w:r>
          </w:p>
          <w:p w14:paraId="04542EF6">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接受，应满足下列要求：</w:t>
            </w:r>
          </w:p>
          <w:p w14:paraId="2BED8D91">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应当向采购人提交联合协议，载明联合体各方承担的工作和义务。联合体各方应当共同与采购人签订采购合同，就采购合同约定的事项对采购人承担连带责任。联合体中有同类资质的供应商按照联合体分工承担相同工作的，应当按照资质等级较低的供应商确定资质等级。</w:t>
            </w:r>
          </w:p>
        </w:tc>
      </w:tr>
      <w:tr w14:paraId="09534E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83" w:hRule="atLeast"/>
        </w:trPr>
        <w:tc>
          <w:tcPr>
            <w:tcW w:w="565" w:type="pct"/>
            <w:vAlign w:val="center"/>
          </w:tcPr>
          <w:p w14:paraId="0497CCC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062" w:type="pct"/>
            <w:vAlign w:val="center"/>
          </w:tcPr>
          <w:p w14:paraId="6CA3A79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bookmarkStart w:id="29" w:name="_Hlk143529175"/>
            <w:r>
              <w:rPr>
                <w:rFonts w:hint="eastAsia" w:ascii="仿宋" w:hAnsi="仿宋" w:eastAsia="仿宋" w:cs="仿宋"/>
                <w:sz w:val="24"/>
                <w:szCs w:val="24"/>
              </w:rPr>
              <w:t>现场考察和答疑会</w:t>
            </w:r>
            <w:bookmarkEnd w:id="29"/>
          </w:p>
        </w:tc>
        <w:tc>
          <w:tcPr>
            <w:tcW w:w="3371" w:type="pct"/>
            <w:vAlign w:val="center"/>
          </w:tcPr>
          <w:p w14:paraId="1DE3CAC5">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不组织，投标人自行前往</w:t>
            </w:r>
          </w:p>
          <w:p w14:paraId="471BF31F">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组织</w:t>
            </w:r>
          </w:p>
          <w:p w14:paraId="6F8C90B2">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时间：</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18950BE0">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地点：</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tc>
      </w:tr>
      <w:tr w14:paraId="74AC8B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70947A0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062" w:type="pct"/>
            <w:vAlign w:val="center"/>
          </w:tcPr>
          <w:p w14:paraId="5E6A12B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中标后分包</w:t>
            </w:r>
          </w:p>
        </w:tc>
        <w:tc>
          <w:tcPr>
            <w:tcW w:w="3371" w:type="pct"/>
            <w:vAlign w:val="center"/>
          </w:tcPr>
          <w:p w14:paraId="4D5856A4">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不允许</w:t>
            </w:r>
          </w:p>
          <w:p w14:paraId="3E21C6AB">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允许，分包内容要求：</w:t>
            </w:r>
          </w:p>
          <w:p w14:paraId="56C212F8">
            <w:pPr>
              <w:pStyle w:val="315"/>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仅允许对本项目的非主体、非关键性工作进行分包。</w:t>
            </w:r>
          </w:p>
          <w:p w14:paraId="0F8A70BE">
            <w:pPr>
              <w:pStyle w:val="315"/>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分包金额要求：</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5691535C">
            <w:pPr>
              <w:pStyle w:val="315"/>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分包人资质要求：</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tc>
      </w:tr>
      <w:tr w14:paraId="3F4C0A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59D5010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062" w:type="pct"/>
            <w:vAlign w:val="center"/>
          </w:tcPr>
          <w:p w14:paraId="3B82DC0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最高限价</w:t>
            </w:r>
          </w:p>
        </w:tc>
        <w:tc>
          <w:tcPr>
            <w:tcW w:w="3371" w:type="pct"/>
            <w:vAlign w:val="center"/>
          </w:tcPr>
          <w:p w14:paraId="139947C1">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详见第一章“投标邀请”</w:t>
            </w:r>
          </w:p>
        </w:tc>
      </w:tr>
      <w:tr w14:paraId="33A37D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03C00B0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062" w:type="pct"/>
            <w:vAlign w:val="center"/>
          </w:tcPr>
          <w:p w14:paraId="114584B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投标有效期</w:t>
            </w:r>
          </w:p>
        </w:tc>
        <w:tc>
          <w:tcPr>
            <w:tcW w:w="3371" w:type="pct"/>
            <w:vAlign w:val="center"/>
          </w:tcPr>
          <w:p w14:paraId="1235FAEF">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投标截止日期后</w:t>
            </w:r>
            <w:r>
              <w:rPr>
                <w:rFonts w:hint="eastAsia" w:ascii="仿宋" w:hAnsi="仿宋" w:eastAsia="仿宋" w:cs="仿宋"/>
                <w:sz w:val="24"/>
                <w:szCs w:val="24"/>
                <w:u w:val="single"/>
              </w:rPr>
              <w:t>90</w:t>
            </w:r>
            <w:r>
              <w:rPr>
                <w:rFonts w:hint="eastAsia" w:ascii="仿宋" w:hAnsi="仿宋" w:eastAsia="仿宋" w:cs="仿宋"/>
                <w:sz w:val="24"/>
                <w:szCs w:val="24"/>
              </w:rPr>
              <w:t>日历日</w:t>
            </w:r>
          </w:p>
        </w:tc>
      </w:tr>
      <w:tr w14:paraId="0297F5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672655B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062" w:type="pct"/>
            <w:vAlign w:val="center"/>
          </w:tcPr>
          <w:p w14:paraId="4C14897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投标文件份数</w:t>
            </w:r>
          </w:p>
        </w:tc>
        <w:tc>
          <w:tcPr>
            <w:tcW w:w="3371" w:type="pct"/>
            <w:vAlign w:val="center"/>
          </w:tcPr>
          <w:p w14:paraId="5FD9356B">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投标文本纸质版一式伍份：</w:t>
            </w:r>
            <w:r>
              <w:rPr>
                <w:rFonts w:hint="eastAsia" w:ascii="仿宋" w:hAnsi="仿宋" w:eastAsia="仿宋" w:cs="仿宋"/>
                <w:sz w:val="24"/>
                <w:szCs w:val="24"/>
                <w:u w:val="single"/>
              </w:rPr>
              <w:t>壹</w:t>
            </w:r>
            <w:r>
              <w:rPr>
                <w:rFonts w:hint="eastAsia" w:ascii="仿宋" w:hAnsi="仿宋" w:eastAsia="仿宋" w:cs="仿宋"/>
                <w:sz w:val="24"/>
                <w:szCs w:val="24"/>
              </w:rPr>
              <w:t>份正本，</w:t>
            </w:r>
            <w:r>
              <w:rPr>
                <w:rFonts w:hint="eastAsia" w:ascii="仿宋" w:hAnsi="仿宋" w:eastAsia="仿宋" w:cs="仿宋"/>
                <w:sz w:val="24"/>
                <w:szCs w:val="24"/>
                <w:u w:val="single"/>
              </w:rPr>
              <w:t>肆</w:t>
            </w:r>
            <w:r>
              <w:rPr>
                <w:rFonts w:hint="eastAsia" w:ascii="仿宋" w:hAnsi="仿宋" w:eastAsia="仿宋" w:cs="仿宋"/>
                <w:sz w:val="24"/>
                <w:szCs w:val="24"/>
              </w:rPr>
              <w:t>份副本。</w:t>
            </w:r>
          </w:p>
          <w:p w14:paraId="4286D132">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投标文件电子版（以纸质版文件为准，电子版文件仅作为存储备档）</w:t>
            </w:r>
          </w:p>
          <w:p w14:paraId="2BA79D32">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不要求</w:t>
            </w:r>
          </w:p>
          <w:p w14:paraId="029F45F7">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u w:val="single"/>
              </w:rPr>
            </w:pPr>
            <w:r>
              <w:rPr>
                <w:rFonts w:hint="eastAsia" w:ascii="仿宋" w:hAnsi="仿宋" w:eastAsia="仿宋" w:cs="仿宋"/>
                <w:sz w:val="24"/>
                <w:szCs w:val="24"/>
              </w:rPr>
              <w:sym w:font="Wingdings" w:char="00FE"/>
            </w:r>
            <w:r>
              <w:rPr>
                <w:rFonts w:hint="eastAsia" w:ascii="仿宋" w:hAnsi="仿宋" w:eastAsia="仿宋" w:cs="仿宋"/>
                <w:sz w:val="24"/>
                <w:szCs w:val="24"/>
              </w:rPr>
              <w:t>要求，投标文件电子版内容：</w:t>
            </w:r>
            <w:r>
              <w:rPr>
                <w:rFonts w:hint="eastAsia" w:ascii="仿宋" w:hAnsi="仿宋" w:eastAsia="仿宋" w:cs="仿宋"/>
                <w:sz w:val="24"/>
                <w:szCs w:val="24"/>
                <w:u w:val="single"/>
              </w:rPr>
              <w:t>与正本保持一致</w:t>
            </w:r>
          </w:p>
          <w:p w14:paraId="5571AB0F">
            <w:pPr>
              <w:pStyle w:val="315"/>
              <w:keepNext w:val="0"/>
              <w:keepLines w:val="0"/>
              <w:pageBreakBefore w:val="0"/>
              <w:widowControl w:val="0"/>
              <w:kinsoku/>
              <w:wordWrap/>
              <w:overflowPunct/>
              <w:topLinePunct w:val="0"/>
              <w:autoSpaceDE/>
              <w:autoSpaceDN/>
              <w:bidi w:val="0"/>
              <w:adjustRightInd/>
              <w:snapToGrid/>
              <w:spacing w:line="400" w:lineRule="exact"/>
              <w:ind w:firstLine="960" w:firstLineChars="400"/>
              <w:textAlignment w:val="auto"/>
              <w:rPr>
                <w:rFonts w:hint="eastAsia" w:ascii="仿宋" w:hAnsi="仿宋" w:eastAsia="仿宋" w:cs="仿宋"/>
                <w:sz w:val="24"/>
                <w:szCs w:val="24"/>
              </w:rPr>
            </w:pPr>
            <w:r>
              <w:rPr>
                <w:rFonts w:hint="eastAsia" w:ascii="仿宋" w:hAnsi="仿宋" w:eastAsia="仿宋" w:cs="仿宋"/>
                <w:sz w:val="24"/>
                <w:szCs w:val="24"/>
              </w:rPr>
              <w:t>投标文件电子版格式：</w:t>
            </w:r>
            <w:r>
              <w:rPr>
                <w:rFonts w:hint="eastAsia" w:ascii="仿宋" w:hAnsi="仿宋" w:eastAsia="仿宋" w:cs="仿宋"/>
                <w:sz w:val="24"/>
                <w:szCs w:val="24"/>
                <w:u w:val="single"/>
              </w:rPr>
              <w:t>PDF格式</w:t>
            </w:r>
          </w:p>
          <w:p w14:paraId="5FFF599F">
            <w:pPr>
              <w:pStyle w:val="315"/>
              <w:keepNext w:val="0"/>
              <w:keepLines w:val="0"/>
              <w:pageBreakBefore w:val="0"/>
              <w:widowControl w:val="0"/>
              <w:kinsoku/>
              <w:wordWrap/>
              <w:overflowPunct/>
              <w:topLinePunct w:val="0"/>
              <w:autoSpaceDE/>
              <w:autoSpaceDN/>
              <w:bidi w:val="0"/>
              <w:adjustRightInd/>
              <w:snapToGrid/>
              <w:spacing w:line="400" w:lineRule="exact"/>
              <w:ind w:firstLine="960" w:firstLineChars="400"/>
              <w:textAlignment w:val="auto"/>
              <w:rPr>
                <w:rFonts w:hint="eastAsia" w:ascii="仿宋" w:hAnsi="仿宋" w:eastAsia="仿宋" w:cs="仿宋"/>
                <w:sz w:val="24"/>
                <w:szCs w:val="24"/>
                <w:u w:val="single"/>
              </w:rPr>
            </w:pPr>
            <w:r>
              <w:rPr>
                <w:rFonts w:hint="eastAsia" w:ascii="仿宋" w:hAnsi="仿宋" w:eastAsia="仿宋" w:cs="仿宋"/>
                <w:sz w:val="24"/>
                <w:szCs w:val="24"/>
              </w:rPr>
              <w:t>投标文件电子版份数：</w:t>
            </w:r>
            <w:r>
              <w:rPr>
                <w:rFonts w:hint="eastAsia" w:ascii="仿宋" w:hAnsi="仿宋" w:eastAsia="仿宋" w:cs="仿宋"/>
                <w:sz w:val="24"/>
                <w:szCs w:val="24"/>
                <w:u w:val="single"/>
              </w:rPr>
              <w:t>1份</w:t>
            </w:r>
          </w:p>
          <w:p w14:paraId="3FCE7FE4">
            <w:pPr>
              <w:pStyle w:val="315"/>
              <w:keepNext w:val="0"/>
              <w:keepLines w:val="0"/>
              <w:pageBreakBefore w:val="0"/>
              <w:widowControl w:val="0"/>
              <w:kinsoku/>
              <w:wordWrap/>
              <w:overflowPunct/>
              <w:topLinePunct w:val="0"/>
              <w:autoSpaceDE/>
              <w:autoSpaceDN/>
              <w:bidi w:val="0"/>
              <w:adjustRightInd/>
              <w:snapToGrid/>
              <w:spacing w:line="400" w:lineRule="exact"/>
              <w:ind w:firstLine="960" w:firstLineChars="400"/>
              <w:textAlignment w:val="auto"/>
              <w:rPr>
                <w:rFonts w:hint="eastAsia" w:ascii="仿宋" w:hAnsi="仿宋" w:eastAsia="仿宋" w:cs="仿宋"/>
                <w:sz w:val="24"/>
                <w:szCs w:val="24"/>
                <w:u w:val="single"/>
              </w:rPr>
            </w:pPr>
            <w:r>
              <w:rPr>
                <w:rFonts w:hint="eastAsia" w:ascii="仿宋" w:hAnsi="仿宋" w:eastAsia="仿宋" w:cs="仿宋"/>
                <w:sz w:val="24"/>
                <w:szCs w:val="24"/>
              </w:rPr>
              <w:t>投标文件电子版储存形式：</w:t>
            </w:r>
            <w:r>
              <w:rPr>
                <w:rFonts w:hint="eastAsia" w:ascii="仿宋" w:hAnsi="仿宋" w:eastAsia="仿宋" w:cs="仿宋"/>
                <w:sz w:val="24"/>
                <w:szCs w:val="24"/>
                <w:u w:val="single"/>
              </w:rPr>
              <w:t>U盘</w:t>
            </w:r>
          </w:p>
          <w:p w14:paraId="0F0B7AD8">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以上资料均应密封提交。</w:t>
            </w:r>
          </w:p>
        </w:tc>
      </w:tr>
      <w:tr w14:paraId="0A5A40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0FE9807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062" w:type="pct"/>
            <w:vAlign w:val="center"/>
          </w:tcPr>
          <w:p w14:paraId="19B830F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装订要求</w:t>
            </w:r>
          </w:p>
        </w:tc>
        <w:tc>
          <w:tcPr>
            <w:tcW w:w="3371" w:type="pct"/>
            <w:vAlign w:val="center"/>
          </w:tcPr>
          <w:p w14:paraId="40FA7458">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按照本项目招标文件的要求，投标文件应按以下要求装订：</w:t>
            </w:r>
          </w:p>
          <w:p w14:paraId="38198939">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资格审查文件装订成一册。</w:t>
            </w:r>
          </w:p>
          <w:p w14:paraId="0FDAF2BF">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价格部分、商务部分、技术部分装订成一册。</w:t>
            </w:r>
          </w:p>
          <w:p w14:paraId="459576AE">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分册装订，分别为：</w:t>
            </w:r>
          </w:p>
          <w:p w14:paraId="59FB0C40">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w:t>
            </w:r>
          </w:p>
          <w:p w14:paraId="5F36813D">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备注：</w:t>
            </w:r>
          </w:p>
          <w:p w14:paraId="3CBF9178">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投标文件采用胶粘方式装订，装订应牢固，不易拆散和换页，不得采用活页装订。并在投标文件封面上标明“正本”、“副本”字样。</w:t>
            </w:r>
          </w:p>
          <w:p w14:paraId="5BE2400F">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如参与多包投标的投标人可选择多包文件合并做一本文件（需注明包号），也可选择每包单独分包做文件。</w:t>
            </w:r>
          </w:p>
        </w:tc>
      </w:tr>
      <w:tr w14:paraId="221C44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00262EC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062" w:type="pct"/>
            <w:vAlign w:val="center"/>
          </w:tcPr>
          <w:p w14:paraId="7F40B75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投标文件的密封和标记要求</w:t>
            </w:r>
          </w:p>
        </w:tc>
        <w:tc>
          <w:tcPr>
            <w:tcW w:w="3371" w:type="pct"/>
            <w:vAlign w:val="center"/>
          </w:tcPr>
          <w:p w14:paraId="3D74AA87">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为方便开标时唱标，投标人应将《投标一览表》两份、《法定代表人身份证明书》一份、《法定代表人授权委托书》一份及投标文件电子版本（U盘储存）一份单独密封提交，并在信封上标明“投标一览表”字样。投标人应将投标文件正本（正本的组成：资格审查文件、价格部分、商务部分、技术部分）和所有的副本一起密封包装，副本可以是原件也可以是正本的复印件，当副本和正本不一致时，以正本为准。</w:t>
            </w:r>
          </w:p>
          <w:p w14:paraId="1F771599">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（2）包装上应注明采购项目名称、项目编号和有“在（招标文件中规定的开标日期和时间）之前不得启封”的字样，封口处加盖投标人印章。</w:t>
            </w:r>
          </w:p>
          <w:p w14:paraId="2542FF93">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（3）如果未按招标文件要求密封的，湖北中联太工程造价咨询有限公司将有权拒绝并原封退回投标文件。</w:t>
            </w:r>
          </w:p>
        </w:tc>
      </w:tr>
      <w:tr w14:paraId="4BF650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03705C6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062" w:type="pct"/>
            <w:vAlign w:val="center"/>
          </w:tcPr>
          <w:p w14:paraId="4D76911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签字和</w:t>
            </w:r>
          </w:p>
          <w:p w14:paraId="07D046F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盖单位章要求</w:t>
            </w:r>
          </w:p>
        </w:tc>
        <w:tc>
          <w:tcPr>
            <w:tcW w:w="3371" w:type="pct"/>
            <w:vAlign w:val="center"/>
          </w:tcPr>
          <w:p w14:paraId="2ED7A5EA">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“盖章单位”是指：盖标明投标人法定名称的公章，不得用如“投标专用章”、“业务专用章”、“合同专用章”、“财务专用章”代替。</w:t>
            </w:r>
          </w:p>
          <w:p w14:paraId="0B814AB1">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sym w:font="Wingdings" w:char="00FE"/>
            </w:r>
            <w:r>
              <w:rPr>
                <w:rFonts w:hint="eastAsia" w:ascii="仿宋" w:hAnsi="仿宋" w:eastAsia="仿宋" w:cs="仿宋"/>
                <w:sz w:val="24"/>
                <w:szCs w:val="24"/>
                <w:lang w:val="en-US" w:eastAsia="zh-CN"/>
              </w:rPr>
              <w:t>手写签字，也可使用个人印章代替。</w:t>
            </w:r>
          </w:p>
          <w:p w14:paraId="622EC9C0">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sym w:font="Wingdings" w:char="00A8"/>
            </w:r>
            <w:r>
              <w:rPr>
                <w:rFonts w:hint="eastAsia" w:ascii="仿宋" w:hAnsi="仿宋" w:eastAsia="仿宋" w:cs="仿宋"/>
                <w:sz w:val="24"/>
                <w:szCs w:val="24"/>
                <w:lang w:val="en-US" w:eastAsia="zh-CN"/>
              </w:rPr>
              <w:t>手写签字，不得使用个人印章代替。</w:t>
            </w:r>
          </w:p>
        </w:tc>
      </w:tr>
      <w:tr w14:paraId="527FEF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570F409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062" w:type="pct"/>
            <w:vAlign w:val="center"/>
          </w:tcPr>
          <w:p w14:paraId="5E27799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投标截止时间</w:t>
            </w:r>
          </w:p>
        </w:tc>
        <w:tc>
          <w:tcPr>
            <w:tcW w:w="3371" w:type="pct"/>
            <w:vAlign w:val="center"/>
          </w:tcPr>
          <w:p w14:paraId="340CB408">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详见第一章</w:t>
            </w:r>
            <w:r>
              <w:rPr>
                <w:rFonts w:hint="eastAsia" w:ascii="仿宋" w:hAnsi="仿宋" w:eastAsia="仿宋" w:cs="仿宋"/>
                <w:sz w:val="24"/>
                <w:szCs w:val="24"/>
                <w:lang w:eastAsia="zh-CN"/>
              </w:rPr>
              <w:t>“</w:t>
            </w:r>
            <w:r>
              <w:rPr>
                <w:rFonts w:hint="eastAsia" w:ascii="仿宋" w:hAnsi="仿宋" w:eastAsia="仿宋" w:cs="仿宋"/>
                <w:sz w:val="24"/>
                <w:szCs w:val="24"/>
              </w:rPr>
              <w:t>投标邀请”</w:t>
            </w:r>
          </w:p>
        </w:tc>
      </w:tr>
      <w:tr w14:paraId="4BBBE5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625E084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062" w:type="pct"/>
            <w:vAlign w:val="center"/>
          </w:tcPr>
          <w:p w14:paraId="0DF1E25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递交投标文件地点</w:t>
            </w:r>
          </w:p>
        </w:tc>
        <w:tc>
          <w:tcPr>
            <w:tcW w:w="3371" w:type="pct"/>
            <w:vAlign w:val="center"/>
          </w:tcPr>
          <w:p w14:paraId="2996A7E3">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详见第一章</w:t>
            </w:r>
            <w:r>
              <w:rPr>
                <w:rFonts w:hint="eastAsia" w:ascii="仿宋" w:hAnsi="仿宋" w:eastAsia="仿宋" w:cs="仿宋"/>
                <w:sz w:val="24"/>
                <w:szCs w:val="24"/>
                <w:lang w:eastAsia="zh-CN"/>
              </w:rPr>
              <w:t>“</w:t>
            </w:r>
            <w:r>
              <w:rPr>
                <w:rFonts w:hint="eastAsia" w:ascii="仿宋" w:hAnsi="仿宋" w:eastAsia="仿宋" w:cs="仿宋"/>
                <w:sz w:val="24"/>
                <w:szCs w:val="24"/>
              </w:rPr>
              <w:t>投标邀请”</w:t>
            </w:r>
          </w:p>
        </w:tc>
      </w:tr>
      <w:tr w14:paraId="66A779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5BFD504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062" w:type="pct"/>
            <w:vAlign w:val="center"/>
          </w:tcPr>
          <w:p w14:paraId="1BDF38B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实物样品</w:t>
            </w:r>
          </w:p>
        </w:tc>
        <w:tc>
          <w:tcPr>
            <w:tcW w:w="3371" w:type="pct"/>
            <w:vAlign w:val="center"/>
          </w:tcPr>
          <w:p w14:paraId="2AE17794">
            <w:pPr>
              <w:pStyle w:val="315"/>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rPr>
              <w:sym w:font="Wingdings" w:char="00FE"/>
            </w:r>
            <w:r>
              <w:rPr>
                <w:rFonts w:hint="eastAsia" w:ascii="仿宋" w:hAnsi="仿宋" w:eastAsia="仿宋" w:cs="仿宋"/>
                <w:sz w:val="24"/>
                <w:szCs w:val="24"/>
                <w:highlight w:val="none"/>
                <w:lang w:val="en-US" w:eastAsia="zh-CN"/>
              </w:rPr>
              <w:t>不</w:t>
            </w:r>
            <w:r>
              <w:rPr>
                <w:rFonts w:hint="eastAsia" w:ascii="仿宋" w:hAnsi="仿宋" w:eastAsia="仿宋" w:cs="仿宋"/>
                <w:sz w:val="24"/>
                <w:szCs w:val="24"/>
                <w:highlight w:val="none"/>
              </w:rPr>
              <w:t>提供</w:t>
            </w:r>
          </w:p>
          <w:p w14:paraId="2BD9DF34">
            <w:pPr>
              <w:pStyle w:val="315"/>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lang w:val="en-US" w:eastAsia="zh-CN"/>
              </w:rPr>
              <w:t>提供</w:t>
            </w:r>
          </w:p>
          <w:p w14:paraId="4FCD26FA">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开标当天</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时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分</w:t>
            </w:r>
            <w:r>
              <w:rPr>
                <w:rFonts w:hint="eastAsia" w:ascii="仿宋" w:hAnsi="仿宋" w:eastAsia="仿宋" w:cs="仿宋"/>
                <w:sz w:val="24"/>
                <w:szCs w:val="24"/>
              </w:rPr>
              <w:t>至</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时   分</w:t>
            </w:r>
            <w:r>
              <w:rPr>
                <w:rFonts w:hint="eastAsia" w:ascii="仿宋" w:hAnsi="仿宋" w:eastAsia="仿宋" w:cs="仿宋"/>
                <w:sz w:val="24"/>
                <w:szCs w:val="24"/>
              </w:rPr>
              <w:t>，提供至（地点）：</w:t>
            </w:r>
            <w:r>
              <w:rPr>
                <w:rFonts w:hint="eastAsia" w:ascii="仿宋" w:hAnsi="仿宋" w:eastAsia="仿宋" w:cs="仿宋"/>
                <w:sz w:val="24"/>
                <w:szCs w:val="24"/>
                <w:u w:val="single"/>
              </w:rPr>
              <w:t xml:space="preserve">    </w:t>
            </w:r>
            <w:r>
              <w:rPr>
                <w:rFonts w:hint="eastAsia" w:ascii="仿宋" w:hAnsi="仿宋" w:eastAsia="仿宋" w:cs="仿宋"/>
                <w:sz w:val="24"/>
                <w:szCs w:val="24"/>
              </w:rPr>
              <w:t>，逾期提供的样品将不予接受。</w:t>
            </w:r>
          </w:p>
        </w:tc>
      </w:tr>
      <w:tr w14:paraId="415823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1E7A202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062" w:type="pct"/>
            <w:vAlign w:val="center"/>
          </w:tcPr>
          <w:p w14:paraId="25B5377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项目演示</w:t>
            </w:r>
          </w:p>
        </w:tc>
        <w:tc>
          <w:tcPr>
            <w:tcW w:w="3371" w:type="pct"/>
            <w:vAlign w:val="center"/>
          </w:tcPr>
          <w:p w14:paraId="49293E46">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不进行</w:t>
            </w:r>
          </w:p>
          <w:p w14:paraId="2943B384">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进行，现场演示/远程线上演示</w:t>
            </w:r>
          </w:p>
          <w:p w14:paraId="3FB2A0AB">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演示时间不得超过</w:t>
            </w:r>
            <w:r>
              <w:rPr>
                <w:rFonts w:hint="eastAsia" w:ascii="仿宋" w:hAnsi="仿宋" w:eastAsia="仿宋" w:cs="仿宋"/>
                <w:sz w:val="24"/>
                <w:szCs w:val="24"/>
                <w:u w:val="single"/>
              </w:rPr>
              <w:t xml:space="preserve">   </w:t>
            </w:r>
            <w:r>
              <w:rPr>
                <w:rFonts w:hint="eastAsia" w:ascii="仿宋" w:hAnsi="仿宋" w:eastAsia="仿宋" w:cs="仿宋"/>
                <w:sz w:val="24"/>
                <w:szCs w:val="24"/>
              </w:rPr>
              <w:t>分钟；</w:t>
            </w:r>
          </w:p>
          <w:p w14:paraId="691D67CA">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进行远程线上演示的，投标人应提前自行准备好演示的软硬配置环境和网络环境，做好演示的各项准备工作。因投标人自身原因无法演示或者演示效果不理想的，导致的后果由投标人自行承担；</w:t>
            </w:r>
          </w:p>
          <w:p w14:paraId="1D86EF39">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进行现场演示的，演示人员不得超过</w:t>
            </w:r>
            <w:r>
              <w:rPr>
                <w:rFonts w:hint="eastAsia" w:ascii="仿宋" w:hAnsi="仿宋" w:eastAsia="仿宋" w:cs="仿宋"/>
                <w:sz w:val="24"/>
                <w:szCs w:val="24"/>
                <w:u w:val="single"/>
              </w:rPr>
              <w:t>3</w:t>
            </w:r>
            <w:r>
              <w:rPr>
                <w:rFonts w:hint="eastAsia" w:ascii="仿宋" w:hAnsi="仿宋" w:eastAsia="仿宋" w:cs="仿宋"/>
                <w:sz w:val="24"/>
                <w:szCs w:val="24"/>
              </w:rPr>
              <w:t>人，演示现场提供</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tc>
      </w:tr>
      <w:tr w14:paraId="74BE4D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14993A1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062" w:type="pct"/>
            <w:vAlign w:val="center"/>
          </w:tcPr>
          <w:p w14:paraId="1E078F1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开标时间</w:t>
            </w:r>
          </w:p>
          <w:p w14:paraId="2CDE10C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和地点</w:t>
            </w:r>
          </w:p>
        </w:tc>
        <w:tc>
          <w:tcPr>
            <w:tcW w:w="3371" w:type="pct"/>
            <w:vAlign w:val="center"/>
          </w:tcPr>
          <w:p w14:paraId="0EAC6431">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详见第一章</w:t>
            </w:r>
            <w:r>
              <w:rPr>
                <w:rFonts w:hint="eastAsia" w:ascii="仿宋" w:hAnsi="仿宋" w:eastAsia="仿宋" w:cs="仿宋"/>
                <w:sz w:val="24"/>
                <w:szCs w:val="24"/>
                <w:lang w:eastAsia="zh-CN"/>
              </w:rPr>
              <w:t>“</w:t>
            </w:r>
            <w:r>
              <w:rPr>
                <w:rFonts w:hint="eastAsia" w:ascii="仿宋" w:hAnsi="仿宋" w:eastAsia="仿宋" w:cs="仿宋"/>
                <w:sz w:val="24"/>
                <w:szCs w:val="24"/>
              </w:rPr>
              <w:t>投标邀请”</w:t>
            </w:r>
          </w:p>
        </w:tc>
      </w:tr>
      <w:tr w14:paraId="7B419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78AD69E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062" w:type="pct"/>
            <w:vAlign w:val="center"/>
          </w:tcPr>
          <w:p w14:paraId="14F7257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评标委员会</w:t>
            </w:r>
          </w:p>
          <w:p w14:paraId="7CF9091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的组建</w:t>
            </w:r>
          </w:p>
        </w:tc>
        <w:tc>
          <w:tcPr>
            <w:tcW w:w="3371" w:type="pct"/>
            <w:vAlign w:val="center"/>
          </w:tcPr>
          <w:p w14:paraId="359DB912">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（1）评标委员会由采购人代表和有关技术、经济等方面的专家组成，成员人数应当为5人以上单数。其中，技术、经济等方面的专家不得少于成员总数的2/3。</w:t>
            </w:r>
          </w:p>
          <w:p w14:paraId="28A0DC78">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（2）评审专家产生方式：从湖北省政府采购评审专家管理系统中通过随机方式抽取产生。</w:t>
            </w:r>
          </w:p>
        </w:tc>
      </w:tr>
      <w:tr w14:paraId="3C6883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20E05BE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062" w:type="pct"/>
            <w:vAlign w:val="center"/>
          </w:tcPr>
          <w:p w14:paraId="3D72AD2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推荐</w:t>
            </w:r>
          </w:p>
          <w:p w14:paraId="3A77AC8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中标候选人</w:t>
            </w:r>
          </w:p>
        </w:tc>
        <w:tc>
          <w:tcPr>
            <w:tcW w:w="3371" w:type="pct"/>
            <w:vAlign w:val="center"/>
          </w:tcPr>
          <w:p w14:paraId="33549C6F">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中标候选人数量</w:t>
            </w:r>
            <w:r>
              <w:rPr>
                <w:rFonts w:hint="eastAsia" w:ascii="仿宋" w:hAnsi="仿宋" w:eastAsia="仿宋" w:cs="仿宋"/>
                <w:sz w:val="24"/>
                <w:szCs w:val="24"/>
                <w:u w:val="single"/>
                <w:lang w:val="en-US" w:eastAsia="zh-CN"/>
              </w:rPr>
              <w:t>3</w:t>
            </w:r>
            <w:r>
              <w:rPr>
                <w:rFonts w:hint="eastAsia" w:ascii="仿宋" w:hAnsi="仿宋" w:eastAsia="仿宋" w:cs="仿宋"/>
                <w:sz w:val="24"/>
                <w:szCs w:val="24"/>
              </w:rPr>
              <w:t>家</w:t>
            </w:r>
          </w:p>
        </w:tc>
      </w:tr>
      <w:tr w14:paraId="6E54E4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1535AD2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062" w:type="pct"/>
            <w:vAlign w:val="center"/>
          </w:tcPr>
          <w:p w14:paraId="751B5E3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确定中标人</w:t>
            </w:r>
          </w:p>
        </w:tc>
        <w:tc>
          <w:tcPr>
            <w:tcW w:w="3371" w:type="pct"/>
            <w:vAlign w:val="center"/>
          </w:tcPr>
          <w:p w14:paraId="1350F65A">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采购人按评审报告中推荐的中标候选人排序确定中标人。</w:t>
            </w:r>
          </w:p>
          <w:p w14:paraId="6484283B">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采购人委托评标委员会直接确定中标人。</w:t>
            </w:r>
          </w:p>
        </w:tc>
      </w:tr>
      <w:tr w14:paraId="5B5FFB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200D039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062" w:type="pct"/>
            <w:vAlign w:val="center"/>
          </w:tcPr>
          <w:p w14:paraId="0E016A0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中标结果公告</w:t>
            </w:r>
          </w:p>
        </w:tc>
        <w:tc>
          <w:tcPr>
            <w:tcW w:w="3371" w:type="pct"/>
            <w:vAlign w:val="center"/>
          </w:tcPr>
          <w:p w14:paraId="72D25EA1">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rPr>
              <w:t>公告媒介：</w:t>
            </w:r>
            <w:r>
              <w:rPr>
                <w:rFonts w:hint="default" w:ascii="仿宋" w:hAnsi="仿宋" w:eastAsia="仿宋" w:cs="仿宋"/>
                <w:sz w:val="24"/>
                <w:szCs w:val="24"/>
                <w:highlight w:val="none"/>
                <w:lang w:val="en-US"/>
              </w:rPr>
              <w:t>湖北省政府采购协会官网http://www.hubeigpa.com/</w:t>
            </w:r>
          </w:p>
        </w:tc>
      </w:tr>
      <w:tr w14:paraId="7A9EE9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3E96468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062" w:type="pct"/>
            <w:vAlign w:val="center"/>
          </w:tcPr>
          <w:p w14:paraId="566E742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履约保证金</w:t>
            </w:r>
          </w:p>
        </w:tc>
        <w:tc>
          <w:tcPr>
            <w:tcW w:w="3371" w:type="pct"/>
            <w:vAlign w:val="center"/>
          </w:tcPr>
          <w:p w14:paraId="67753052">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sym w:font="Wingdings" w:char="00FE"/>
            </w:r>
            <w:r>
              <w:rPr>
                <w:rFonts w:hint="eastAsia" w:ascii="仿宋" w:hAnsi="仿宋" w:eastAsia="仿宋" w:cs="仿宋"/>
                <w:color w:val="000000" w:themeColor="text1"/>
                <w:sz w:val="24"/>
                <w:szCs w:val="24"/>
                <w:highlight w:val="none"/>
                <w14:textFill>
                  <w14:solidFill>
                    <w14:schemeClr w14:val="tx1"/>
                  </w14:solidFill>
                </w14:textFill>
              </w:rPr>
              <w:t>无</w:t>
            </w:r>
          </w:p>
          <w:p w14:paraId="7275BC27">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sym w:font="Wingdings" w:char="00A8"/>
            </w:r>
            <w:r>
              <w:rPr>
                <w:rFonts w:hint="eastAsia" w:ascii="仿宋" w:hAnsi="仿宋" w:eastAsia="仿宋" w:cs="仿宋"/>
                <w:color w:val="000000" w:themeColor="text1"/>
                <w:sz w:val="24"/>
                <w:szCs w:val="24"/>
                <w:highlight w:val="none"/>
                <w14:textFill>
                  <w14:solidFill>
                    <w14:schemeClr w14:val="tx1"/>
                  </w14:solidFill>
                </w14:textFill>
              </w:rPr>
              <w:t>有，履约保证金金额：</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w:t>
            </w:r>
          </w:p>
          <w:p w14:paraId="7E1F577A">
            <w:pPr>
              <w:pStyle w:val="315"/>
              <w:keepNext w:val="0"/>
              <w:keepLines w:val="0"/>
              <w:pageBreakBefore w:val="0"/>
              <w:widowControl w:val="0"/>
              <w:kinsoku/>
              <w:wordWrap/>
              <w:overflowPunct/>
              <w:topLinePunct w:val="0"/>
              <w:autoSpaceDE/>
              <w:autoSpaceDN/>
              <w:bidi w:val="0"/>
              <w:adjustRightInd/>
              <w:snapToGrid/>
              <w:spacing w:line="400" w:lineRule="exact"/>
              <w:ind w:firstLine="720" w:firstLineChars="3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履约担保形式：</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w:t>
            </w:r>
          </w:p>
        </w:tc>
      </w:tr>
      <w:tr w14:paraId="796B4E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33632EF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1062" w:type="pct"/>
            <w:vAlign w:val="center"/>
          </w:tcPr>
          <w:p w14:paraId="6F8BD31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采购代理收取方式和标准</w:t>
            </w:r>
          </w:p>
        </w:tc>
        <w:tc>
          <w:tcPr>
            <w:tcW w:w="3371" w:type="pct"/>
            <w:vAlign w:val="center"/>
          </w:tcPr>
          <w:p w14:paraId="396AB4F6">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根据采购人和采购代理机构签署的委托代理协议书约定：</w:t>
            </w:r>
          </w:p>
          <w:p w14:paraId="3B410F19">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采购代理服务费：</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由采购人支付 </w:t>
            </w:r>
            <w:r>
              <w:rPr>
                <w:rFonts w:hint="eastAsia" w:ascii="仿宋" w:hAnsi="仿宋" w:eastAsia="仿宋" w:cs="仿宋"/>
                <w:sz w:val="24"/>
                <w:szCs w:val="24"/>
              </w:rPr>
              <w:sym w:font="Wingdings" w:char="00FE"/>
            </w:r>
            <w:r>
              <w:rPr>
                <w:rFonts w:hint="eastAsia" w:ascii="仿宋" w:hAnsi="仿宋" w:eastAsia="仿宋" w:cs="仿宋"/>
                <w:sz w:val="24"/>
                <w:szCs w:val="24"/>
              </w:rPr>
              <w:t>由中标人支付</w:t>
            </w:r>
          </w:p>
          <w:p w14:paraId="612B929C">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sz w:val="24"/>
                <w:szCs w:val="24"/>
                <w:lang w:val="en-US" w:eastAsia="zh-CN"/>
              </w:rPr>
              <w:t>（2）</w:t>
            </w:r>
            <w:r>
              <w:rPr>
                <w:rFonts w:hint="eastAsia" w:ascii="仿宋" w:hAnsi="仿宋" w:eastAsia="仿宋" w:cs="仿宋"/>
                <w:color w:val="000000" w:themeColor="text1"/>
                <w:sz w:val="24"/>
                <w:szCs w:val="24"/>
                <w14:textFill>
                  <w14:solidFill>
                    <w14:schemeClr w14:val="tx1"/>
                  </w14:solidFill>
                </w14:textFill>
              </w:rPr>
              <w:t>支付标准：</w:t>
            </w:r>
            <w:r>
              <w:rPr>
                <w:rFonts w:hint="eastAsia" w:ascii="仿宋" w:hAnsi="仿宋" w:eastAsia="仿宋" w:cs="仿宋"/>
                <w:color w:val="auto"/>
                <w:sz w:val="24"/>
                <w:szCs w:val="24"/>
                <w:u w:val="single"/>
              </w:rPr>
              <w:t>中标人应参照国家计委计价格</w:t>
            </w:r>
            <w:r>
              <w:rPr>
                <w:rFonts w:hint="eastAsia" w:ascii="仿宋" w:hAnsi="仿宋" w:eastAsia="仿宋" w:cs="仿宋"/>
                <w:color w:val="auto"/>
                <w:sz w:val="24"/>
                <w:szCs w:val="24"/>
                <w:u w:val="single"/>
                <w:lang w:eastAsia="zh-CN"/>
              </w:rPr>
              <w:t>〔2002〕1980号</w:t>
            </w:r>
            <w:r>
              <w:rPr>
                <w:rFonts w:hint="eastAsia" w:ascii="仿宋" w:hAnsi="仿宋" w:eastAsia="仿宋" w:cs="仿宋"/>
                <w:color w:val="auto"/>
                <w:sz w:val="24"/>
                <w:szCs w:val="24"/>
                <w:u w:val="single"/>
              </w:rPr>
              <w:t>文件规定的</w:t>
            </w:r>
            <w:r>
              <w:rPr>
                <w:rFonts w:hint="eastAsia" w:ascii="仿宋" w:hAnsi="仿宋" w:eastAsia="仿宋" w:cs="仿宋"/>
                <w:color w:val="auto"/>
                <w:sz w:val="24"/>
                <w:szCs w:val="24"/>
                <w:u w:val="single"/>
                <w:lang w:val="en-US" w:eastAsia="zh-CN"/>
              </w:rPr>
              <w:t>货物标准</w:t>
            </w:r>
            <w:r>
              <w:rPr>
                <w:rFonts w:hint="eastAsia" w:ascii="仿宋" w:hAnsi="仿宋" w:eastAsia="仿宋" w:cs="仿宋"/>
                <w:color w:val="auto"/>
                <w:sz w:val="24"/>
                <w:szCs w:val="24"/>
                <w:u w:val="single"/>
              </w:rPr>
              <w:t>，向采购代理机构支付中标服务费</w:t>
            </w:r>
            <w:r>
              <w:rPr>
                <w:rFonts w:hint="eastAsia" w:ascii="仿宋" w:hAnsi="仿宋" w:eastAsia="仿宋" w:cs="仿宋"/>
                <w:color w:val="auto"/>
                <w:sz w:val="24"/>
                <w:szCs w:val="24"/>
                <w:u w:val="single"/>
                <w:lang w:eastAsia="zh-CN"/>
              </w:rPr>
              <w:t>（</w:t>
            </w:r>
            <w:r>
              <w:rPr>
                <w:rFonts w:hint="eastAsia" w:ascii="仿宋" w:hAnsi="仿宋" w:eastAsia="仿宋" w:cs="仿宋"/>
                <w:color w:val="auto"/>
                <w:sz w:val="24"/>
                <w:szCs w:val="24"/>
                <w:u w:val="single"/>
                <w:lang w:val="en-US" w:eastAsia="zh-CN"/>
              </w:rPr>
              <w:t>不足3000元按照3000元收取</w:t>
            </w:r>
            <w:r>
              <w:rPr>
                <w:rFonts w:hint="eastAsia" w:ascii="仿宋" w:hAnsi="仿宋" w:eastAsia="仿宋" w:cs="仿宋"/>
                <w:color w:val="auto"/>
                <w:sz w:val="24"/>
                <w:szCs w:val="24"/>
                <w:u w:val="single"/>
                <w:lang w:eastAsia="zh-CN"/>
              </w:rPr>
              <w:t>）</w:t>
            </w:r>
            <w:r>
              <w:rPr>
                <w:rFonts w:hint="eastAsia" w:ascii="仿宋" w:hAnsi="仿宋" w:eastAsia="仿宋" w:cs="仿宋"/>
                <w:color w:val="auto"/>
                <w:sz w:val="24"/>
                <w:szCs w:val="24"/>
                <w:u w:val="single"/>
              </w:rPr>
              <w:t>。</w:t>
            </w:r>
          </w:p>
          <w:p w14:paraId="6DCDA344">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支付时间：</w:t>
            </w:r>
            <w:r>
              <w:rPr>
                <w:rFonts w:hint="eastAsia" w:ascii="仿宋" w:hAnsi="仿宋" w:eastAsia="仿宋" w:cs="仿宋"/>
                <w:sz w:val="24"/>
                <w:szCs w:val="24"/>
                <w:u w:val="single"/>
                <w:lang w:val="en-US" w:eastAsia="zh-CN"/>
              </w:rPr>
              <w:t>招标</w:t>
            </w:r>
            <w:r>
              <w:rPr>
                <w:rFonts w:hint="eastAsia" w:ascii="仿宋" w:hAnsi="仿宋" w:eastAsia="仿宋" w:cs="仿宋"/>
                <w:sz w:val="24"/>
                <w:szCs w:val="24"/>
                <w:u w:val="single"/>
              </w:rPr>
              <w:t>代理服务费</w:t>
            </w:r>
            <w:r>
              <w:rPr>
                <w:rFonts w:hint="eastAsia" w:ascii="仿宋" w:hAnsi="仿宋" w:eastAsia="仿宋" w:cs="仿宋"/>
                <w:sz w:val="24"/>
                <w:szCs w:val="24"/>
                <w:u w:val="single"/>
                <w:lang w:val="zh-CN"/>
              </w:rPr>
              <w:t>由中标人在领取中标通知书之前，向代理机构支付</w:t>
            </w:r>
          </w:p>
          <w:p w14:paraId="7D047FF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u w:val="single"/>
                <w:lang w:val="zh-CN"/>
              </w:rPr>
            </w:pPr>
            <w:r>
              <w:rPr>
                <w:rFonts w:hint="eastAsia" w:ascii="仿宋" w:hAnsi="仿宋" w:eastAsia="仿宋" w:cs="仿宋"/>
                <w:sz w:val="24"/>
                <w:szCs w:val="24"/>
                <w:lang w:val="en-US" w:eastAsia="zh-CN"/>
              </w:rPr>
              <w:t>（4）</w:t>
            </w:r>
            <w:r>
              <w:rPr>
                <w:rFonts w:hint="eastAsia" w:ascii="仿宋" w:hAnsi="仿宋" w:eastAsia="仿宋" w:cs="仿宋"/>
                <w:sz w:val="24"/>
                <w:szCs w:val="24"/>
              </w:rPr>
              <w:t>支付方式：</w:t>
            </w:r>
            <w:r>
              <w:rPr>
                <w:rFonts w:hint="eastAsia" w:ascii="仿宋" w:hAnsi="仿宋" w:eastAsia="仿宋" w:cs="仿宋"/>
                <w:sz w:val="24"/>
                <w:szCs w:val="24"/>
                <w:u w:val="single"/>
                <w:lang w:val="zh-CN"/>
              </w:rPr>
              <w:t>现金或电汇</w:t>
            </w:r>
          </w:p>
          <w:p w14:paraId="0409AD9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000000"/>
                <w:sz w:val="24"/>
                <w:szCs w:val="24"/>
                <w:lang w:val="zh-CN"/>
              </w:rPr>
            </w:pPr>
            <w:r>
              <w:rPr>
                <w:rFonts w:hint="eastAsia" w:ascii="仿宋" w:hAnsi="仿宋" w:eastAsia="仿宋" w:cs="仿宋"/>
                <w:sz w:val="24"/>
                <w:szCs w:val="24"/>
                <w:lang w:val="en-US" w:eastAsia="zh-CN"/>
              </w:rPr>
              <w:t>（5）</w:t>
            </w:r>
            <w:r>
              <w:rPr>
                <w:rFonts w:hint="eastAsia" w:ascii="仿宋" w:hAnsi="仿宋" w:eastAsia="仿宋" w:cs="仿宋"/>
                <w:color w:val="000000"/>
                <w:sz w:val="24"/>
                <w:szCs w:val="24"/>
                <w:lang w:val="zh-CN"/>
              </w:rPr>
              <w:t>其他事项：中标人交纳采购代理服务费时需携带以下开票资料。</w:t>
            </w:r>
            <w:r>
              <w:rPr>
                <w:rFonts w:hint="eastAsia" w:ascii="仿宋" w:hAnsi="仿宋" w:eastAsia="仿宋" w:cs="仿宋"/>
                <w:color w:val="000000"/>
                <w:sz w:val="24"/>
                <w:szCs w:val="24"/>
                <w:lang w:val="zh-CN"/>
              </w:rPr>
              <w:cr/>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zh-CN"/>
              </w:rPr>
              <w:t>开票单位名称</w:t>
            </w:r>
            <w:r>
              <w:rPr>
                <w:rFonts w:hint="eastAsia" w:ascii="仿宋" w:hAnsi="仿宋" w:eastAsia="仿宋" w:cs="仿宋"/>
                <w:color w:val="000000"/>
                <w:sz w:val="24"/>
                <w:szCs w:val="24"/>
                <w:lang w:val="zh-CN"/>
              </w:rPr>
              <w:cr/>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zh-CN"/>
              </w:rPr>
              <w:t>纳税人识别号（或统一社会信用代码）</w:t>
            </w:r>
            <w:r>
              <w:rPr>
                <w:rFonts w:hint="eastAsia" w:ascii="仿宋" w:hAnsi="仿宋" w:eastAsia="仿宋" w:cs="仿宋"/>
                <w:color w:val="000000"/>
                <w:sz w:val="24"/>
                <w:szCs w:val="24"/>
                <w:lang w:val="zh-CN"/>
              </w:rPr>
              <w:cr/>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zh-CN"/>
              </w:rPr>
              <w:t>营业执照或税务登记证</w:t>
            </w:r>
            <w:r>
              <w:rPr>
                <w:rFonts w:hint="eastAsia" w:ascii="仿宋" w:hAnsi="仿宋" w:eastAsia="仿宋" w:cs="仿宋"/>
                <w:color w:val="000000"/>
                <w:sz w:val="24"/>
                <w:szCs w:val="24"/>
                <w:lang w:val="zh-CN"/>
              </w:rPr>
              <w:cr/>
            </w: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zh-CN"/>
              </w:rPr>
              <w:t>单位联系电话及地址</w:t>
            </w:r>
          </w:p>
          <w:p w14:paraId="370B315C">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zh-CN"/>
              </w:rPr>
              <w:t>开户行及账号</w:t>
            </w:r>
          </w:p>
        </w:tc>
      </w:tr>
      <w:tr w14:paraId="08A51E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60D5C75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1062" w:type="pct"/>
            <w:vAlign w:val="center"/>
          </w:tcPr>
          <w:p w14:paraId="7C763FD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lang w:val="zh-CN"/>
              </w:rPr>
              <w:t>是否接受进口产品</w:t>
            </w:r>
          </w:p>
        </w:tc>
        <w:tc>
          <w:tcPr>
            <w:tcW w:w="3371" w:type="pct"/>
            <w:vAlign w:val="center"/>
          </w:tcPr>
          <w:p w14:paraId="02F46476">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不接受</w:t>
            </w:r>
          </w:p>
          <w:p w14:paraId="54702CFD">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lang w:val="zh-CN"/>
              </w:rPr>
              <w:t>接受</w:t>
            </w:r>
          </w:p>
        </w:tc>
      </w:tr>
      <w:tr w14:paraId="0428D2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Merge w:val="restart"/>
            <w:vAlign w:val="center"/>
          </w:tcPr>
          <w:p w14:paraId="49F6B09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31</w:t>
            </w:r>
          </w:p>
        </w:tc>
        <w:tc>
          <w:tcPr>
            <w:tcW w:w="1062" w:type="pct"/>
            <w:vAlign w:val="center"/>
          </w:tcPr>
          <w:p w14:paraId="4E0A4FE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支持中小企业政策</w:t>
            </w:r>
          </w:p>
        </w:tc>
        <w:tc>
          <w:tcPr>
            <w:tcW w:w="3371" w:type="pct"/>
            <w:vAlign w:val="center"/>
          </w:tcPr>
          <w:p w14:paraId="6F57296E">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非专门面向中小企业的项目</w:t>
            </w:r>
          </w:p>
          <w:p w14:paraId="45A37997">
            <w:pPr>
              <w:pStyle w:val="318"/>
              <w:spacing w:line="400" w:lineRule="exact"/>
              <w:rPr>
                <w:rFonts w:ascii="仿宋" w:hAnsi="仿宋" w:eastAsia="仿宋" w:cs="仿宋"/>
                <w:szCs w:val="24"/>
              </w:rPr>
            </w:pPr>
            <w:r>
              <w:rPr>
                <w:rFonts w:hint="eastAsia" w:ascii="仿宋" w:hAnsi="仿宋" w:eastAsia="仿宋" w:cs="仿宋"/>
                <w:sz w:val="24"/>
                <w:szCs w:val="24"/>
                <w:lang w:val="en-US" w:eastAsia="zh-CN"/>
              </w:rPr>
              <w:t>（1）</w:t>
            </w:r>
            <w:r>
              <w:rPr>
                <w:rFonts w:hint="eastAsia" w:ascii="仿宋" w:hAnsi="仿宋" w:eastAsia="仿宋" w:cs="仿宋"/>
                <w:szCs w:val="24"/>
              </w:rPr>
              <w:t>对于未预留份额专门面向中小企业采购的采购项目，以及预留份额项目中的非预留部分采购包，对小微企业报价给予比例扣除，价格扣除比例为：</w:t>
            </w:r>
            <w:r>
              <w:rPr>
                <w:rFonts w:hint="eastAsia" w:ascii="仿宋" w:hAnsi="仿宋" w:eastAsia="仿宋" w:cs="仿宋"/>
                <w:szCs w:val="24"/>
                <w:u w:val="single"/>
              </w:rPr>
              <w:t>10%</w:t>
            </w:r>
            <w:r>
              <w:rPr>
                <w:rFonts w:hint="eastAsia" w:ascii="仿宋" w:hAnsi="仿宋" w:eastAsia="仿宋" w:cs="仿宋"/>
                <w:szCs w:val="24"/>
              </w:rPr>
              <w:t>；</w:t>
            </w:r>
          </w:p>
          <w:p w14:paraId="4751FE7C">
            <w:pPr>
              <w:pStyle w:val="318"/>
              <w:spacing w:line="400" w:lineRule="exact"/>
              <w:rPr>
                <w:rFonts w:ascii="仿宋" w:hAnsi="仿宋" w:eastAsia="仿宋" w:cs="仿宋"/>
                <w:szCs w:val="24"/>
              </w:rPr>
            </w:pPr>
            <w:r>
              <w:rPr>
                <w:rFonts w:hint="eastAsia" w:ascii="仿宋" w:hAnsi="仿宋" w:eastAsia="仿宋" w:cs="仿宋"/>
                <w:sz w:val="24"/>
                <w:szCs w:val="24"/>
                <w:lang w:val="en-US" w:eastAsia="zh-CN"/>
              </w:rPr>
              <w:t>（2）</w:t>
            </w:r>
            <w:r>
              <w:rPr>
                <w:rFonts w:hint="eastAsia" w:ascii="仿宋" w:hAnsi="仿宋" w:eastAsia="仿宋" w:cs="仿宋"/>
                <w:szCs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比例扣除，价格扣除比例为：</w:t>
            </w:r>
            <w:r>
              <w:rPr>
                <w:rFonts w:hint="eastAsia" w:ascii="仿宋" w:hAnsi="仿宋" w:eastAsia="仿宋" w:cs="仿宋"/>
                <w:szCs w:val="24"/>
                <w:u w:val="single"/>
              </w:rPr>
              <w:t>4%</w:t>
            </w:r>
            <w:r>
              <w:rPr>
                <w:rFonts w:hint="eastAsia" w:ascii="仿宋" w:hAnsi="仿宋" w:eastAsia="仿宋" w:cs="仿宋"/>
                <w:szCs w:val="24"/>
              </w:rPr>
              <w:t>；</w:t>
            </w:r>
          </w:p>
          <w:p w14:paraId="44C9A64B">
            <w:pPr>
              <w:pStyle w:val="318"/>
              <w:spacing w:line="400" w:lineRule="exact"/>
              <w:rPr>
                <w:rFonts w:hint="eastAsia" w:ascii="仿宋" w:hAnsi="仿宋" w:eastAsia="仿宋" w:cs="仿宋"/>
                <w:szCs w:val="24"/>
              </w:rPr>
            </w:pPr>
            <w:r>
              <w:rPr>
                <w:rFonts w:hint="eastAsia" w:ascii="仿宋" w:hAnsi="仿宋" w:eastAsia="仿宋" w:cs="仿宋"/>
                <w:sz w:val="24"/>
                <w:szCs w:val="24"/>
                <w:lang w:val="en-US" w:eastAsia="zh-CN"/>
              </w:rPr>
              <w:t>（3）</w:t>
            </w:r>
            <w:r>
              <w:rPr>
                <w:rFonts w:hint="eastAsia" w:ascii="仿宋" w:hAnsi="仿宋" w:eastAsia="仿宋" w:cs="仿宋"/>
                <w:szCs w:val="24"/>
              </w:rPr>
              <w:t>中小企业应当提供《中小企业声明函》（详见本招标文件第七章 响应文件格式），对符合鄂财采发〔2022〕5号文第二条规定享受上限评审优惠的小微企业，还应提供符合该条款要求的其他证明材料，否则在评审时不享受上述评审优惠。</w:t>
            </w:r>
          </w:p>
          <w:p w14:paraId="6E960C53">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Cs w:val="24"/>
              </w:rPr>
            </w:pPr>
            <w:r>
              <w:rPr>
                <w:rFonts w:hint="eastAsia" w:ascii="仿宋" w:hAnsi="仿宋" w:eastAsia="仿宋" w:cs="仿宋"/>
                <w:sz w:val="24"/>
                <w:szCs w:val="24"/>
                <w:lang w:val="en-US" w:eastAsia="zh-CN"/>
              </w:rPr>
              <w:t>（4）</w:t>
            </w:r>
            <w:r>
              <w:rPr>
                <w:rFonts w:hint="eastAsia" w:ascii="仿宋" w:hAnsi="仿宋" w:eastAsia="仿宋" w:cs="仿宋"/>
                <w:szCs w:val="24"/>
                <w:lang w:val="en-US" w:eastAsia="zh-CN"/>
              </w:rPr>
              <w:t>投标人</w:t>
            </w:r>
            <w:r>
              <w:rPr>
                <w:rFonts w:hint="eastAsia" w:ascii="仿宋" w:hAnsi="仿宋" w:eastAsia="仿宋" w:cs="仿宋"/>
                <w:szCs w:val="24"/>
              </w:rPr>
              <w:t>应当对《中小企业声明函》、监狱企业证明文件、《残疾人福利性单位声明函》及其它符合鄂财采发〔2022〕5号文件第二条证明材料的真实性负责，上述材料与事实不符的，依照《政府采购法》第七十七条第一款的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149D4A3">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专门面向中小企业的项目</w:t>
            </w:r>
          </w:p>
          <w:p w14:paraId="70F56E7A">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专门面向中小企业采购标的内容：</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w:t>
            </w:r>
          </w:p>
          <w:p w14:paraId="726723F0">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专门面向中小企业采购预算金额：</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w:t>
            </w:r>
          </w:p>
        </w:tc>
      </w:tr>
      <w:tr w14:paraId="317BB9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Merge w:val="continue"/>
            <w:vAlign w:val="center"/>
          </w:tcPr>
          <w:p w14:paraId="7F4F181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p>
        </w:tc>
        <w:tc>
          <w:tcPr>
            <w:tcW w:w="1062" w:type="pct"/>
            <w:vAlign w:val="center"/>
          </w:tcPr>
          <w:p w14:paraId="73A21C30">
            <w:pPr>
              <w:pStyle w:val="318"/>
              <w:spacing w:line="400" w:lineRule="exact"/>
              <w:jc w:val="center"/>
              <w:rPr>
                <w:rFonts w:hint="eastAsia" w:ascii="仿宋" w:hAnsi="仿宋" w:eastAsia="仿宋" w:cs="仿宋"/>
                <w:sz w:val="24"/>
                <w:szCs w:val="24"/>
              </w:rPr>
            </w:pPr>
            <w:r>
              <w:rPr>
                <w:rFonts w:hint="eastAsia" w:ascii="仿宋" w:hAnsi="仿宋" w:eastAsia="仿宋" w:cs="仿宋"/>
                <w:szCs w:val="24"/>
              </w:rPr>
              <w:t>支持监狱企业</w:t>
            </w:r>
            <w:r>
              <w:rPr>
                <w:rFonts w:hint="eastAsia" w:ascii="仿宋" w:hAnsi="仿宋" w:eastAsia="仿宋" w:cs="仿宋"/>
                <w:szCs w:val="24"/>
                <w:lang w:val="en-US" w:eastAsia="zh-CN"/>
              </w:rPr>
              <w:t>政策</w:t>
            </w:r>
          </w:p>
        </w:tc>
        <w:tc>
          <w:tcPr>
            <w:tcW w:w="3371" w:type="pct"/>
            <w:vAlign w:val="center"/>
          </w:tcPr>
          <w:p w14:paraId="493DA08A">
            <w:pPr>
              <w:pStyle w:val="318"/>
              <w:spacing w:line="400" w:lineRule="exact"/>
              <w:rPr>
                <w:rFonts w:hint="eastAsia" w:ascii="仿宋" w:hAnsi="仿宋" w:eastAsia="仿宋" w:cs="仿宋"/>
                <w:sz w:val="24"/>
                <w:szCs w:val="24"/>
              </w:rPr>
            </w:pPr>
            <w:r>
              <w:rPr>
                <w:rFonts w:hint="eastAsia" w:ascii="仿宋" w:hAnsi="仿宋" w:eastAsia="仿宋" w:cs="仿宋"/>
                <w:szCs w:val="24"/>
              </w:rPr>
              <w:t>依据财政部 司法部《关于政府采购支持监狱企业发展有关问题的通知》（财库</w:t>
            </w:r>
            <w:r>
              <w:rPr>
                <w:rFonts w:hint="eastAsia" w:ascii="仿宋" w:hAnsi="仿宋" w:eastAsia="仿宋" w:cs="仿宋"/>
                <w:szCs w:val="24"/>
                <w:lang w:eastAsia="zh-CN"/>
              </w:rPr>
              <w:t>〔2014〕68号</w:t>
            </w:r>
            <w:r>
              <w:rPr>
                <w:rFonts w:hint="eastAsia" w:ascii="仿宋" w:hAnsi="仿宋" w:eastAsia="仿宋" w:cs="仿宋"/>
                <w:szCs w:val="24"/>
              </w:rPr>
              <w:t>）的规定，监狱企业视同小型、微型企业，享受预留份额、评审中价格扣除等促进中小企业发展的政府采购政策。监狱企业应当提供由省级以上监狱管理局、戒毒管理局</w:t>
            </w:r>
            <w:r>
              <w:rPr>
                <w:rFonts w:hint="eastAsia" w:ascii="仿宋" w:hAnsi="仿宋" w:eastAsia="仿宋" w:cs="仿宋"/>
                <w:szCs w:val="24"/>
                <w:lang w:eastAsia="zh-CN"/>
              </w:rPr>
              <w:t>（</w:t>
            </w:r>
            <w:r>
              <w:rPr>
                <w:rFonts w:hint="eastAsia" w:ascii="仿宋" w:hAnsi="仿宋" w:eastAsia="仿宋" w:cs="仿宋"/>
                <w:szCs w:val="24"/>
              </w:rPr>
              <w:t>含新疆生产建设兵团</w:t>
            </w:r>
            <w:r>
              <w:rPr>
                <w:rFonts w:hint="eastAsia" w:ascii="仿宋" w:hAnsi="仿宋" w:eastAsia="仿宋" w:cs="仿宋"/>
                <w:szCs w:val="24"/>
                <w:lang w:eastAsia="zh-CN"/>
              </w:rPr>
              <w:t>）</w:t>
            </w:r>
            <w:r>
              <w:rPr>
                <w:rFonts w:hint="eastAsia" w:ascii="仿宋" w:hAnsi="仿宋" w:eastAsia="仿宋" w:cs="仿宋"/>
                <w:szCs w:val="24"/>
              </w:rPr>
              <w:t>出具的属于监狱企业的证明文件</w:t>
            </w:r>
          </w:p>
        </w:tc>
      </w:tr>
      <w:tr w14:paraId="19CEB9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Merge w:val="continue"/>
            <w:vAlign w:val="center"/>
          </w:tcPr>
          <w:p w14:paraId="2980564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p>
        </w:tc>
        <w:tc>
          <w:tcPr>
            <w:tcW w:w="1062" w:type="pct"/>
            <w:vAlign w:val="center"/>
          </w:tcPr>
          <w:p w14:paraId="302C86E7">
            <w:pPr>
              <w:pStyle w:val="318"/>
              <w:spacing w:line="400" w:lineRule="exact"/>
              <w:jc w:val="center"/>
              <w:rPr>
                <w:rFonts w:hint="eastAsia" w:ascii="仿宋" w:hAnsi="仿宋" w:eastAsia="仿宋" w:cs="仿宋"/>
                <w:szCs w:val="24"/>
              </w:rPr>
            </w:pPr>
            <w:r>
              <w:rPr>
                <w:rFonts w:hint="eastAsia" w:ascii="仿宋" w:hAnsi="仿宋" w:eastAsia="仿宋" w:cs="仿宋"/>
                <w:szCs w:val="24"/>
              </w:rPr>
              <w:t>支持残疾人福利性单位</w:t>
            </w:r>
            <w:r>
              <w:rPr>
                <w:rFonts w:hint="eastAsia" w:ascii="仿宋" w:hAnsi="仿宋" w:eastAsia="仿宋" w:cs="仿宋"/>
                <w:szCs w:val="24"/>
                <w:lang w:val="en-US" w:eastAsia="zh-CN"/>
              </w:rPr>
              <w:t>政策</w:t>
            </w:r>
          </w:p>
        </w:tc>
        <w:tc>
          <w:tcPr>
            <w:tcW w:w="3371" w:type="pct"/>
            <w:vAlign w:val="center"/>
          </w:tcPr>
          <w:p w14:paraId="6AB73221">
            <w:pPr>
              <w:pStyle w:val="318"/>
              <w:spacing w:line="400" w:lineRule="exact"/>
              <w:rPr>
                <w:rFonts w:hint="eastAsia" w:ascii="仿宋" w:hAnsi="仿宋" w:eastAsia="仿宋" w:cs="仿宋"/>
                <w:szCs w:val="24"/>
              </w:rPr>
            </w:pPr>
            <w:r>
              <w:rPr>
                <w:rFonts w:hint="eastAsia" w:ascii="仿宋" w:hAnsi="仿宋" w:eastAsia="仿宋" w:cs="仿宋"/>
                <w:szCs w:val="24"/>
              </w:rPr>
              <w:t>依据财政部 民政部 中国残疾人联合会《关于促进残疾人就业政府采购政策的通知》（财库</w:t>
            </w:r>
            <w:r>
              <w:rPr>
                <w:rFonts w:hint="eastAsia" w:ascii="仿宋" w:hAnsi="仿宋" w:eastAsia="仿宋" w:cs="仿宋"/>
                <w:szCs w:val="24"/>
                <w:lang w:eastAsia="zh-CN"/>
              </w:rPr>
              <w:t>〔2017〕141号</w:t>
            </w:r>
            <w:r>
              <w:rPr>
                <w:rFonts w:hint="eastAsia" w:ascii="仿宋" w:hAnsi="仿宋" w:eastAsia="仿宋" w:cs="仿宋"/>
                <w:szCs w:val="24"/>
              </w:rPr>
              <w:t>）的规定，残疾人福利性单位视同小型、微型企业，享受预留份额、评审中价格扣除等促进中小企业发展的政府采购政策。残疾人福利性单位属于小型、微型企业的，不重复享受政策。符合该通知规定条件的残疾人福利性单位应当提供《残疾人福利性单位声明函》（见附件）</w:t>
            </w:r>
          </w:p>
        </w:tc>
      </w:tr>
      <w:tr w14:paraId="055945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vAlign w:val="center"/>
          </w:tcPr>
          <w:p w14:paraId="009CF8B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1062" w:type="pct"/>
            <w:vAlign w:val="center"/>
          </w:tcPr>
          <w:p w14:paraId="5AA2FC0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napToGrid w:val="0"/>
                <w:sz w:val="24"/>
                <w:szCs w:val="24"/>
              </w:rPr>
              <w:t>优先采购创新节能环保产品</w:t>
            </w:r>
          </w:p>
        </w:tc>
        <w:tc>
          <w:tcPr>
            <w:tcW w:w="3371" w:type="pct"/>
            <w:vAlign w:val="center"/>
          </w:tcPr>
          <w:p w14:paraId="683D584D">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属于优先采购节能环保产品范围的，对该项产品的价格给予1%的扣除</w:t>
            </w:r>
          </w:p>
          <w:p w14:paraId="7AB2741E">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所投产品纳入创新产品应用示范推荐目录内企业、所投产品获得节能产品或环境标志产品认证证书的企业报价给予20%的价格扣除</w:t>
            </w:r>
          </w:p>
        </w:tc>
      </w:tr>
      <w:tr w14:paraId="0B61DD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5" w:type="pct"/>
            <w:tcBorders>
              <w:right w:val="single" w:color="auto" w:sz="4" w:space="0"/>
            </w:tcBorders>
            <w:vAlign w:val="center"/>
          </w:tcPr>
          <w:p w14:paraId="33B29BC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33</w:t>
            </w:r>
          </w:p>
        </w:tc>
        <w:tc>
          <w:tcPr>
            <w:tcW w:w="1062" w:type="pct"/>
            <w:tcBorders>
              <w:right w:val="single" w:color="auto" w:sz="4" w:space="0"/>
            </w:tcBorders>
            <w:vAlign w:val="center"/>
          </w:tcPr>
          <w:p w14:paraId="2E8F259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需要补充的其他内容</w:t>
            </w:r>
          </w:p>
        </w:tc>
        <w:tc>
          <w:tcPr>
            <w:tcW w:w="3371" w:type="pct"/>
            <w:tcBorders>
              <w:left w:val="single" w:color="auto" w:sz="4" w:space="0"/>
            </w:tcBorders>
            <w:vAlign w:val="center"/>
          </w:tcPr>
          <w:p w14:paraId="085C2F38">
            <w:pPr>
              <w:tabs>
                <w:tab w:val="left" w:pos="1260"/>
              </w:tabs>
              <w:snapToGrid w:val="0"/>
              <w:spacing w:line="400" w:lineRule="exact"/>
              <w:rPr>
                <w:rFonts w:hint="eastAsia" w:ascii="仿宋" w:hAnsi="仿宋" w:eastAsia="仿宋"/>
                <w:sz w:val="24"/>
                <w:lang w:eastAsia="zh-CN"/>
              </w:rPr>
            </w:pPr>
            <w:r>
              <w:rPr>
                <w:rFonts w:hint="eastAsia" w:ascii="仿宋" w:hAnsi="仿宋" w:eastAsia="仿宋" w:cs="仿宋"/>
                <w:sz w:val="24"/>
                <w:szCs w:val="24"/>
                <w:lang w:val="en-US" w:eastAsia="zh-CN"/>
              </w:rPr>
              <w:t>（1）</w:t>
            </w:r>
            <w:r>
              <w:rPr>
                <w:rFonts w:hint="eastAsia" w:ascii="仿宋" w:hAnsi="仿宋" w:eastAsia="仿宋"/>
                <w:color w:val="auto"/>
                <w:sz w:val="24"/>
              </w:rPr>
              <w:t>本项目采用</w:t>
            </w:r>
            <w:r>
              <w:rPr>
                <w:rFonts w:hint="eastAsia" w:ascii="仿宋" w:hAnsi="仿宋" w:eastAsia="仿宋"/>
                <w:color w:val="auto"/>
                <w:sz w:val="24"/>
                <w:lang w:val="en-US" w:eastAsia="zh-CN"/>
              </w:rPr>
              <w:t>折扣（%）</w:t>
            </w:r>
            <w:r>
              <w:rPr>
                <w:rFonts w:hint="eastAsia" w:ascii="仿宋" w:hAnsi="仿宋" w:eastAsia="仿宋"/>
                <w:color w:val="auto"/>
                <w:sz w:val="24"/>
              </w:rPr>
              <w:t>报价</w:t>
            </w:r>
            <w:r>
              <w:rPr>
                <w:rFonts w:hint="eastAsia" w:ascii="仿宋" w:hAnsi="仿宋" w:eastAsia="仿宋"/>
                <w:sz w:val="24"/>
                <w:lang w:eastAsia="zh-CN"/>
              </w:rPr>
              <w:t>。</w:t>
            </w:r>
          </w:p>
          <w:p w14:paraId="44F7C565">
            <w:pPr>
              <w:tabs>
                <w:tab w:val="left" w:pos="1260"/>
              </w:tabs>
              <w:snapToGrid w:val="0"/>
              <w:spacing w:line="400" w:lineRule="exact"/>
              <w:rPr>
                <w:rFonts w:ascii="仿宋" w:hAnsi="仿宋" w:eastAsia="仿宋"/>
                <w:sz w:val="24"/>
              </w:rPr>
            </w:pPr>
            <w:r>
              <w:rPr>
                <w:rFonts w:hint="eastAsia" w:ascii="仿宋" w:hAnsi="仿宋" w:eastAsia="仿宋" w:cs="仿宋"/>
                <w:sz w:val="24"/>
                <w:szCs w:val="24"/>
                <w:lang w:val="en-US" w:eastAsia="zh-CN"/>
              </w:rPr>
              <w:t>（2）</w:t>
            </w:r>
            <w:r>
              <w:rPr>
                <w:rFonts w:hint="eastAsia" w:ascii="仿宋" w:hAnsi="仿宋" w:eastAsia="仿宋"/>
                <w:sz w:val="24"/>
              </w:rPr>
              <w:t>最高限价：</w:t>
            </w:r>
            <w:r>
              <w:rPr>
                <w:rFonts w:hint="eastAsia" w:ascii="仿宋" w:hAnsi="仿宋" w:eastAsia="仿宋"/>
                <w:sz w:val="24"/>
                <w:lang w:val="en-US" w:eastAsia="zh-CN"/>
              </w:rPr>
              <w:t>6</w:t>
            </w:r>
            <w:r>
              <w:rPr>
                <w:rFonts w:hint="eastAsia" w:ascii="仿宋" w:hAnsi="仿宋" w:eastAsia="仿宋"/>
                <w:sz w:val="24"/>
              </w:rPr>
              <w:t>万元。</w:t>
            </w:r>
          </w:p>
          <w:p w14:paraId="595D9E9E">
            <w:pPr>
              <w:tabs>
                <w:tab w:val="left" w:pos="1260"/>
              </w:tabs>
              <w:snapToGrid w:val="0"/>
              <w:spacing w:line="400" w:lineRule="exact"/>
              <w:rPr>
                <w:rFonts w:hint="eastAsia" w:ascii="仿宋" w:hAnsi="仿宋" w:eastAsia="仿宋" w:cs="仿宋"/>
                <w:b w:val="0"/>
                <w:bCs w:val="0"/>
                <w:color w:val="000000"/>
                <w:kern w:val="0"/>
                <w:sz w:val="24"/>
                <w:szCs w:val="24"/>
              </w:rPr>
            </w:pPr>
            <w:r>
              <w:rPr>
                <w:rFonts w:hint="eastAsia" w:ascii="仿宋" w:hAnsi="仿宋" w:eastAsia="仿宋" w:cs="仿宋"/>
                <w:sz w:val="24"/>
                <w:szCs w:val="24"/>
                <w:lang w:val="en-US" w:eastAsia="zh-CN"/>
              </w:rPr>
              <w:t>（3）</w:t>
            </w:r>
            <w:r>
              <w:rPr>
                <w:rFonts w:hint="eastAsia" w:ascii="仿宋" w:hAnsi="仿宋" w:eastAsia="仿宋" w:cs="仿宋"/>
                <w:b w:val="0"/>
                <w:bCs w:val="0"/>
                <w:color w:val="000000"/>
                <w:kern w:val="0"/>
                <w:sz w:val="24"/>
                <w:szCs w:val="24"/>
              </w:rPr>
              <w:t>针对同一采购程序环节的质疑须在法定质疑期内一次性提出</w:t>
            </w:r>
          </w:p>
          <w:p w14:paraId="2C9CB6CD">
            <w:pPr>
              <w:tabs>
                <w:tab w:val="left" w:pos="1260"/>
              </w:tabs>
              <w:snapToGrid w:val="0"/>
              <w:spacing w:line="400" w:lineRule="exact"/>
              <w:rPr>
                <w:rFonts w:hint="eastAsia" w:ascii="仿宋" w:hAnsi="仿宋" w:eastAsia="仿宋" w:cs="仿宋"/>
                <w:color w:val="000000"/>
                <w:kern w:val="0"/>
                <w:sz w:val="24"/>
                <w:szCs w:val="24"/>
              </w:rPr>
            </w:pPr>
            <w:r>
              <w:rPr>
                <w:rFonts w:hint="eastAsia" w:ascii="仿宋" w:hAnsi="仿宋" w:eastAsia="仿宋" w:cs="仿宋"/>
                <w:b w:val="0"/>
                <w:bCs w:val="0"/>
                <w:color w:val="000000"/>
                <w:kern w:val="0"/>
                <w:sz w:val="24"/>
                <w:szCs w:val="24"/>
                <w:lang w:val="en-US" w:eastAsia="zh-CN"/>
              </w:rPr>
              <w:t>1</w:t>
            </w:r>
            <w:r>
              <w:rPr>
                <w:rFonts w:hint="eastAsia" w:ascii="仿宋" w:hAnsi="仿宋" w:eastAsia="仿宋" w:cs="仿宋"/>
                <w:b w:val="0"/>
                <w:bCs w:val="0"/>
                <w:color w:val="000000"/>
                <w:kern w:val="0"/>
                <w:sz w:val="24"/>
                <w:szCs w:val="24"/>
                <w:lang w:eastAsia="zh-CN"/>
              </w:rPr>
              <w:t>）</w:t>
            </w:r>
            <w:r>
              <w:rPr>
                <w:rFonts w:hint="eastAsia" w:ascii="仿宋" w:hAnsi="仿宋" w:eastAsia="仿宋" w:cs="仿宋"/>
                <w:bCs/>
                <w:color w:val="000000"/>
                <w:kern w:val="0"/>
                <w:sz w:val="24"/>
                <w:szCs w:val="24"/>
              </w:rPr>
              <w:t>接收质疑函的联系单位：</w:t>
            </w:r>
            <w:r>
              <w:rPr>
                <w:rFonts w:hint="eastAsia" w:ascii="仿宋" w:hAnsi="仿宋" w:eastAsia="仿宋" w:cs="仿宋"/>
                <w:color w:val="000000"/>
                <w:kern w:val="0"/>
                <w:sz w:val="24"/>
                <w:szCs w:val="24"/>
              </w:rPr>
              <w:t>湖北中联太工程造价咨询有限公司</w:t>
            </w:r>
          </w:p>
          <w:p w14:paraId="37A2A3FF">
            <w:pPr>
              <w:tabs>
                <w:tab w:val="left" w:pos="1260"/>
              </w:tabs>
              <w:snapToGrid w:val="0"/>
              <w:spacing w:line="400" w:lineRule="exact"/>
              <w:rPr>
                <w:rFonts w:hint="eastAsia" w:ascii="仿宋" w:hAnsi="仿宋" w:eastAsia="仿宋" w:cs="仿宋"/>
                <w:color w:val="000000"/>
                <w:kern w:val="0"/>
                <w:sz w:val="24"/>
                <w:szCs w:val="24"/>
              </w:rPr>
            </w:pPr>
            <w:r>
              <w:rPr>
                <w:rFonts w:hint="eastAsia" w:ascii="仿宋" w:hAnsi="仿宋" w:eastAsia="仿宋" w:cs="仿宋"/>
                <w:b w:val="0"/>
                <w:bCs w:val="0"/>
                <w:color w:val="000000"/>
                <w:kern w:val="0"/>
                <w:sz w:val="24"/>
                <w:szCs w:val="24"/>
                <w:lang w:val="en-US" w:eastAsia="zh-CN"/>
              </w:rPr>
              <w:t>2</w:t>
            </w:r>
            <w:r>
              <w:rPr>
                <w:rFonts w:hint="eastAsia" w:ascii="仿宋" w:hAnsi="仿宋" w:eastAsia="仿宋" w:cs="仿宋"/>
                <w:b w:val="0"/>
                <w:bCs w:val="0"/>
                <w:color w:val="000000"/>
                <w:kern w:val="0"/>
                <w:sz w:val="24"/>
                <w:szCs w:val="24"/>
                <w:lang w:eastAsia="zh-CN"/>
              </w:rPr>
              <w:t>）</w:t>
            </w:r>
            <w:r>
              <w:rPr>
                <w:rFonts w:hint="eastAsia" w:ascii="仿宋" w:hAnsi="仿宋" w:eastAsia="仿宋" w:cs="仿宋"/>
                <w:bCs/>
                <w:color w:val="000000"/>
                <w:kern w:val="0"/>
                <w:sz w:val="24"/>
                <w:szCs w:val="24"/>
              </w:rPr>
              <w:t>接收质疑函的联系地址：湖北省</w:t>
            </w:r>
            <w:r>
              <w:rPr>
                <w:rFonts w:hint="eastAsia" w:ascii="仿宋" w:hAnsi="仿宋" w:eastAsia="仿宋" w:cs="仿宋"/>
                <w:color w:val="000000"/>
                <w:kern w:val="0"/>
                <w:sz w:val="24"/>
                <w:szCs w:val="24"/>
              </w:rPr>
              <w:t>武汉市江岸区马祖路17号9楼</w:t>
            </w:r>
          </w:p>
          <w:p w14:paraId="0C9F3749">
            <w:pPr>
              <w:tabs>
                <w:tab w:val="left" w:pos="1260"/>
              </w:tabs>
              <w:snapToGrid w:val="0"/>
              <w:spacing w:line="400" w:lineRule="exact"/>
              <w:rPr>
                <w:rFonts w:hint="default" w:ascii="仿宋" w:hAnsi="仿宋" w:eastAsia="仿宋" w:cs="仿宋"/>
                <w:sz w:val="24"/>
                <w:szCs w:val="24"/>
                <w:lang w:val="en-US" w:eastAsia="zh-CN"/>
              </w:rPr>
            </w:pPr>
            <w:r>
              <w:rPr>
                <w:rFonts w:hint="eastAsia" w:ascii="仿宋" w:hAnsi="仿宋" w:eastAsia="仿宋" w:cs="仿宋"/>
                <w:b w:val="0"/>
                <w:bCs w:val="0"/>
                <w:color w:val="000000"/>
                <w:kern w:val="0"/>
                <w:sz w:val="24"/>
                <w:szCs w:val="24"/>
                <w:lang w:val="en-US" w:eastAsia="zh-CN"/>
              </w:rPr>
              <w:t>3</w:t>
            </w:r>
            <w:r>
              <w:rPr>
                <w:rFonts w:hint="eastAsia" w:ascii="仿宋" w:hAnsi="仿宋" w:eastAsia="仿宋" w:cs="仿宋"/>
                <w:b w:val="0"/>
                <w:bCs w:val="0"/>
                <w:color w:val="000000"/>
                <w:kern w:val="0"/>
                <w:sz w:val="24"/>
                <w:szCs w:val="24"/>
                <w:lang w:eastAsia="zh-CN"/>
              </w:rPr>
              <w:t>）</w:t>
            </w:r>
            <w:r>
              <w:rPr>
                <w:rFonts w:hint="eastAsia" w:ascii="仿宋" w:hAnsi="仿宋" w:eastAsia="仿宋" w:cs="仿宋"/>
                <w:bCs/>
                <w:color w:val="000000"/>
                <w:kern w:val="0"/>
                <w:sz w:val="24"/>
                <w:szCs w:val="24"/>
              </w:rPr>
              <w:t>接收质疑函的联系电话：</w:t>
            </w:r>
            <w:r>
              <w:rPr>
                <w:rFonts w:hint="eastAsia" w:ascii="仿宋" w:hAnsi="仿宋" w:eastAsia="仿宋" w:cs="仿宋"/>
                <w:color w:val="000000"/>
                <w:kern w:val="0"/>
                <w:sz w:val="24"/>
                <w:szCs w:val="24"/>
              </w:rPr>
              <w:t>027-85492633</w:t>
            </w:r>
            <w:r>
              <w:rPr>
                <w:rFonts w:hint="eastAsia" w:ascii="仿宋" w:hAnsi="仿宋" w:eastAsia="仿宋" w:cs="仿宋"/>
                <w:bCs/>
                <w:color w:val="000000"/>
                <w:kern w:val="0"/>
                <w:sz w:val="24"/>
                <w:szCs w:val="24"/>
              </w:rPr>
              <w:t>。</w:t>
            </w:r>
          </w:p>
        </w:tc>
      </w:tr>
      <w:tr w14:paraId="6A0CF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000" w:type="pct"/>
            <w:gridSpan w:val="3"/>
            <w:vAlign w:val="center"/>
          </w:tcPr>
          <w:p w14:paraId="49458C97">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1.除本招标文件另有规定外，招标文件中出现的类似于“近三年”或“前三年”、“近五年”或“前五年”均指递交投标文件时间以前三年或前五年，以此类推。如：递交投标文件时间为</w:t>
            </w:r>
            <w:r>
              <w:rPr>
                <w:rFonts w:hint="eastAsia" w:ascii="仿宋" w:hAnsi="仿宋" w:eastAsia="仿宋" w:cs="仿宋"/>
                <w:sz w:val="24"/>
                <w:szCs w:val="24"/>
                <w:lang w:val="en-US" w:eastAsia="zh-CN"/>
              </w:rPr>
              <w:t>2025</w:t>
            </w:r>
            <w:r>
              <w:rPr>
                <w:rFonts w:hint="eastAsia" w:ascii="仿宋" w:hAnsi="仿宋" w:eastAsia="仿宋" w:cs="仿宋"/>
                <w:sz w:val="24"/>
                <w:szCs w:val="24"/>
              </w:rPr>
              <w:t>年</w:t>
            </w:r>
            <w:r>
              <w:rPr>
                <w:rFonts w:hint="eastAsia" w:ascii="仿宋" w:hAnsi="仿宋" w:eastAsia="仿宋" w:cs="仿宋"/>
                <w:sz w:val="24"/>
                <w:szCs w:val="24"/>
                <w:lang w:val="en-US" w:eastAsia="zh-CN"/>
              </w:rPr>
              <w:t>1</w:t>
            </w:r>
            <w:r>
              <w:rPr>
                <w:rFonts w:hint="eastAsia" w:ascii="仿宋" w:hAnsi="仿宋" w:eastAsia="仿宋" w:cs="仿宋"/>
                <w:sz w:val="24"/>
                <w:szCs w:val="24"/>
              </w:rPr>
              <w:t>月</w:t>
            </w:r>
            <w:r>
              <w:rPr>
                <w:rFonts w:hint="eastAsia" w:ascii="仿宋" w:hAnsi="仿宋" w:eastAsia="仿宋" w:cs="仿宋"/>
                <w:sz w:val="24"/>
                <w:szCs w:val="24"/>
                <w:lang w:val="en-US" w:eastAsia="zh-CN"/>
              </w:rPr>
              <w:t>1</w:t>
            </w:r>
            <w:r>
              <w:rPr>
                <w:rFonts w:hint="eastAsia" w:ascii="仿宋" w:hAnsi="仿宋" w:eastAsia="仿宋" w:cs="仿宋"/>
                <w:sz w:val="24"/>
                <w:szCs w:val="24"/>
              </w:rPr>
              <w:t>日，则“近三年”是指</w:t>
            </w:r>
            <w:r>
              <w:rPr>
                <w:rFonts w:hint="eastAsia" w:ascii="仿宋" w:hAnsi="仿宋" w:eastAsia="仿宋" w:cs="仿宋"/>
                <w:sz w:val="24"/>
                <w:szCs w:val="24"/>
                <w:lang w:val="en-US" w:eastAsia="zh-CN"/>
              </w:rPr>
              <w:t>2022</w:t>
            </w:r>
            <w:r>
              <w:rPr>
                <w:rFonts w:hint="eastAsia" w:ascii="仿宋" w:hAnsi="仿宋" w:eastAsia="仿宋" w:cs="仿宋"/>
                <w:sz w:val="24"/>
                <w:szCs w:val="24"/>
              </w:rPr>
              <w:t>年</w:t>
            </w:r>
            <w:r>
              <w:rPr>
                <w:rFonts w:hint="eastAsia" w:ascii="仿宋" w:hAnsi="仿宋" w:eastAsia="仿宋" w:cs="仿宋"/>
                <w:sz w:val="24"/>
                <w:szCs w:val="24"/>
                <w:lang w:val="en-US" w:eastAsia="zh-CN"/>
              </w:rPr>
              <w:t>1</w:t>
            </w:r>
            <w:r>
              <w:rPr>
                <w:rFonts w:hint="eastAsia" w:ascii="仿宋" w:hAnsi="仿宋" w:eastAsia="仿宋" w:cs="仿宋"/>
                <w:sz w:val="24"/>
                <w:szCs w:val="24"/>
              </w:rPr>
              <w:t>月</w:t>
            </w:r>
            <w:r>
              <w:rPr>
                <w:rFonts w:hint="eastAsia" w:ascii="仿宋" w:hAnsi="仿宋" w:eastAsia="仿宋" w:cs="仿宋"/>
                <w:sz w:val="24"/>
                <w:szCs w:val="24"/>
                <w:lang w:val="en-US" w:eastAsia="zh-CN"/>
              </w:rPr>
              <w:t>1</w:t>
            </w:r>
            <w:r>
              <w:rPr>
                <w:rFonts w:hint="eastAsia" w:ascii="仿宋" w:hAnsi="仿宋" w:eastAsia="仿宋" w:cs="仿宋"/>
                <w:sz w:val="24"/>
                <w:szCs w:val="24"/>
              </w:rPr>
              <w:t>日至</w:t>
            </w:r>
            <w:r>
              <w:rPr>
                <w:rFonts w:hint="eastAsia" w:ascii="仿宋" w:hAnsi="仿宋" w:eastAsia="仿宋" w:cs="仿宋"/>
                <w:sz w:val="24"/>
                <w:szCs w:val="24"/>
                <w:lang w:val="en-US" w:eastAsia="zh-CN"/>
              </w:rPr>
              <w:t>2025</w:t>
            </w:r>
            <w:r>
              <w:rPr>
                <w:rFonts w:hint="eastAsia" w:ascii="仿宋" w:hAnsi="仿宋" w:eastAsia="仿宋" w:cs="仿宋"/>
                <w:sz w:val="24"/>
                <w:szCs w:val="24"/>
              </w:rPr>
              <w:t>年</w:t>
            </w:r>
            <w:r>
              <w:rPr>
                <w:rFonts w:hint="eastAsia" w:ascii="仿宋" w:hAnsi="仿宋" w:eastAsia="仿宋" w:cs="仿宋"/>
                <w:sz w:val="24"/>
                <w:szCs w:val="24"/>
                <w:lang w:val="en-US" w:eastAsia="zh-CN"/>
              </w:rPr>
              <w:t>1</w:t>
            </w:r>
            <w:r>
              <w:rPr>
                <w:rFonts w:hint="eastAsia" w:ascii="仿宋" w:hAnsi="仿宋" w:eastAsia="仿宋" w:cs="仿宋"/>
                <w:sz w:val="24"/>
                <w:szCs w:val="24"/>
              </w:rPr>
              <w:t>月</w:t>
            </w:r>
            <w:r>
              <w:rPr>
                <w:rFonts w:hint="eastAsia" w:ascii="仿宋" w:hAnsi="仿宋" w:eastAsia="仿宋" w:cs="仿宋"/>
                <w:sz w:val="24"/>
                <w:szCs w:val="24"/>
                <w:lang w:val="en-US" w:eastAsia="zh-CN"/>
              </w:rPr>
              <w:t>1</w:t>
            </w:r>
            <w:r>
              <w:rPr>
                <w:rFonts w:hint="eastAsia" w:ascii="仿宋" w:hAnsi="仿宋" w:eastAsia="仿宋" w:cs="仿宋"/>
                <w:sz w:val="24"/>
                <w:szCs w:val="24"/>
              </w:rPr>
              <w:t>日。</w:t>
            </w:r>
          </w:p>
          <w:p w14:paraId="10553F6A">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2.本招标文件所称的“以上”、“以下”、“内”、“以内”，包括本数；所称的“不足”，不包括本数。</w:t>
            </w:r>
          </w:p>
          <w:p w14:paraId="6D50A601">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3.投标人须知前附表中，“</w:t>
            </w:r>
            <w:r>
              <w:rPr>
                <w:rFonts w:hint="eastAsia" w:ascii="仿宋" w:hAnsi="仿宋" w:eastAsia="仿宋" w:cs="仿宋"/>
                <w:sz w:val="24"/>
                <w:szCs w:val="24"/>
              </w:rPr>
              <w:sym w:font="Wingdings" w:char="00FE"/>
            </w:r>
            <w:r>
              <w:rPr>
                <w:rFonts w:hint="eastAsia" w:ascii="仿宋" w:hAnsi="仿宋" w:eastAsia="仿宋" w:cs="仿宋"/>
                <w:sz w:val="24"/>
                <w:szCs w:val="24"/>
              </w:rPr>
              <w:t>”代表选中，“</w:t>
            </w:r>
            <w:r>
              <w:rPr>
                <w:rFonts w:hint="eastAsia" w:ascii="仿宋" w:hAnsi="仿宋" w:eastAsia="仿宋" w:cs="仿宋"/>
                <w:sz w:val="24"/>
                <w:szCs w:val="24"/>
              </w:rPr>
              <w:sym w:font="Wingdings" w:char="00A8"/>
            </w:r>
            <w:r>
              <w:rPr>
                <w:rFonts w:hint="eastAsia" w:ascii="仿宋" w:hAnsi="仿宋" w:eastAsia="仿宋" w:cs="仿宋"/>
                <w:sz w:val="24"/>
                <w:szCs w:val="24"/>
              </w:rPr>
              <w:t>”代表未选中。</w:t>
            </w:r>
          </w:p>
        </w:tc>
      </w:tr>
    </w:tbl>
    <w:p w14:paraId="6554ED8A">
      <w:pPr>
        <w:rPr>
          <w:rFonts w:hint="eastAsia" w:ascii="黑体" w:hAnsi="黑体" w:eastAsia="黑体" w:cs="黑体"/>
          <w:b/>
          <w:bCs/>
          <w:sz w:val="32"/>
          <w:szCs w:val="32"/>
        </w:rPr>
        <w:sectPr>
          <w:headerReference r:id="rId11" w:type="first"/>
          <w:footerReference r:id="rId13" w:type="first"/>
          <w:headerReference r:id="rId10" w:type="default"/>
          <w:footerReference r:id="rId12" w:type="default"/>
          <w:pgSz w:w="11907" w:h="16840"/>
          <w:pgMar w:top="1440" w:right="1800" w:bottom="1440" w:left="1800" w:header="851" w:footer="992" w:gutter="0"/>
          <w:cols w:space="0" w:num="1"/>
          <w:titlePg/>
          <w:rtlGutter w:val="0"/>
          <w:docGrid w:type="lines" w:linePitch="312" w:charSpace="0"/>
        </w:sectPr>
      </w:pPr>
    </w:p>
    <w:p w14:paraId="5E1A28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附件：</w:t>
      </w:r>
    </w:p>
    <w:p w14:paraId="10B5610C">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黑体" w:hAnsi="黑体" w:eastAsia="黑体" w:cs="黑体"/>
          <w:color w:val="000000"/>
          <w:sz w:val="32"/>
          <w:szCs w:val="32"/>
        </w:rPr>
      </w:pPr>
      <w:r>
        <w:rPr>
          <w:rFonts w:hint="eastAsia" w:ascii="黑体" w:hAnsi="黑体" w:eastAsia="黑体" w:cs="黑体"/>
          <w:b/>
          <w:bCs/>
          <w:color w:val="000000"/>
          <w:sz w:val="32"/>
          <w:szCs w:val="32"/>
        </w:rPr>
        <w:t>中小企业划型标准规定</w:t>
      </w:r>
    </w:p>
    <w:p w14:paraId="14AAF147">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一、根据《中华人民共和国中小企业促进法》和《国务院关于进一步促进中小企业发展的若干意见》(国发〔2009〕36号)，制定本规定。</w:t>
      </w:r>
    </w:p>
    <w:p w14:paraId="184858C5">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二、中小企业划分为中型、小型、微型三种类型，具体标准根据企业从业人员、营业收入、资产总额等指标，结合行业特点制定。</w:t>
      </w:r>
    </w:p>
    <w:p w14:paraId="58D48F6C">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344A297">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四、各行业划型标准为：</w:t>
      </w:r>
    </w:p>
    <w:p w14:paraId="26460672">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sz w:val="24"/>
          <w:szCs w:val="24"/>
        </w:rPr>
        <w:t>（一）农、林、牧、渔业。营业收入20000万元以下的为中小微型企业。其中，营业收入500万元及以上的为中型企业，营业收入50万元及以上的为小型企业，营业收入50</w:t>
      </w:r>
      <w:r>
        <w:rPr>
          <w:rFonts w:hint="eastAsia" w:ascii="仿宋" w:hAnsi="仿宋" w:eastAsia="仿宋" w:cs="仿宋"/>
          <w:b w:val="0"/>
          <w:bCs w:val="0"/>
          <w:sz w:val="24"/>
          <w:szCs w:val="24"/>
        </w:rPr>
        <w:t>万元以下的为微型企业。</w:t>
      </w:r>
    </w:p>
    <w:p w14:paraId="24D5E2C0">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A6C2CF1">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63E2D1D">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1BC5219">
      <w:pPr>
        <w:pStyle w:val="314"/>
        <w:keepNext w:val="0"/>
        <w:keepLines w:val="0"/>
        <w:pageBreakBefore w:val="0"/>
        <w:kinsoku/>
        <w:overflowPunct/>
        <w:topLinePunct w:val="0"/>
        <w:bidi w:val="0"/>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F2298E1">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6313581">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BBE0D94">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6CD6078">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F10C5DD">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59239A8">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E917E03">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63E26BB">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E7395A7">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D0E7776">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E3AB02F">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（十六）其他未列明行业。从业人员300人以下的为中小微型企业。其中，从业人员100人及以上的为中型企业；从业人员10人及以上的为小型企业；从业人员10人以下的为微型企业。</w:t>
      </w:r>
    </w:p>
    <w:p w14:paraId="064F253B">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五、企业类型的划分以统计部门的统计数据为依据。</w:t>
      </w:r>
    </w:p>
    <w:p w14:paraId="526CEDC5">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六、本规定适用于在中华人民共和国境内依法设立的各类所有制和各种组织形式的企业。个体工商户和本规定以外的行业，参照本规定进行划型。</w:t>
      </w:r>
    </w:p>
    <w:p w14:paraId="777DA89B">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14:paraId="27CE933D">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八、本规定由工业和信息化部、国家统计局会同有关部门根据《国民经济行业分类》修订情况和企业发展变化情况适时修订。</w:t>
      </w:r>
    </w:p>
    <w:p w14:paraId="6B6F6975">
      <w:pPr>
        <w:pStyle w:val="314"/>
        <w:keepNext w:val="0"/>
        <w:keepLines w:val="0"/>
        <w:pageBreakBefore w:val="0"/>
        <w:kinsoku/>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九、本规定由工业和信息化部、国家统计局会同有关部门负责解释。</w:t>
      </w:r>
    </w:p>
    <w:p w14:paraId="3F07F833">
      <w:pPr>
        <w:keepNext w:val="0"/>
        <w:keepLines w:val="0"/>
        <w:pageBreakBefore w:val="0"/>
        <w:kinsoku/>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000000"/>
          <w:sz w:val="24"/>
          <w:szCs w:val="24"/>
          <w:lang w:val="zh-CN"/>
        </w:rPr>
      </w:pPr>
      <w:r>
        <w:rPr>
          <w:rFonts w:hint="eastAsia" w:ascii="仿宋" w:hAnsi="仿宋" w:eastAsia="仿宋" w:cs="仿宋"/>
          <w:sz w:val="24"/>
          <w:szCs w:val="24"/>
        </w:rPr>
        <w:t>十、本规定自发布之日起执行，原国家经贸委、原国家计委、财政部和国家统计局2003年颁布的《中小企业标准暂行规定》同时废止。</w:t>
      </w:r>
    </w:p>
    <w:p w14:paraId="6EFD9D07">
      <w:pPr>
        <w:keepNext w:val="0"/>
        <w:keepLines w:val="0"/>
        <w:pageBreakBefore w:val="0"/>
        <w:kinsoku/>
        <w:overflowPunct/>
        <w:topLinePunct w:val="0"/>
        <w:autoSpaceDE w:val="0"/>
        <w:autoSpaceDN w:val="0"/>
        <w:bidi w:val="0"/>
        <w:adjustRightInd w:val="0"/>
        <w:snapToGrid/>
        <w:spacing w:line="360" w:lineRule="auto"/>
        <w:textAlignment w:val="auto"/>
        <w:rPr>
          <w:rFonts w:hint="eastAsia" w:ascii="仿宋" w:hAnsi="仿宋" w:eastAsia="仿宋" w:cs="仿宋"/>
          <w:sz w:val="24"/>
          <w:szCs w:val="24"/>
          <w:lang w:val="zh-CN"/>
        </w:rPr>
      </w:pPr>
    </w:p>
    <w:p w14:paraId="44F16332">
      <w:pPr>
        <w:keepNext w:val="0"/>
        <w:keepLines w:val="0"/>
        <w:pageBreakBefore w:val="0"/>
        <w:kinsoku/>
        <w:overflowPunct/>
        <w:topLinePunct w:val="0"/>
        <w:autoSpaceDE w:val="0"/>
        <w:autoSpaceDN w:val="0"/>
        <w:bidi w:val="0"/>
        <w:adjustRightInd w:val="0"/>
        <w:snapToGrid/>
        <w:spacing w:line="360" w:lineRule="auto"/>
        <w:textAlignment w:val="auto"/>
        <w:rPr>
          <w:rFonts w:hint="eastAsia" w:ascii="仿宋" w:hAnsi="仿宋" w:eastAsia="仿宋" w:cs="仿宋"/>
          <w:sz w:val="24"/>
          <w:szCs w:val="24"/>
        </w:rPr>
      </w:pPr>
    </w:p>
    <w:p w14:paraId="2753E9DE">
      <w:pPr>
        <w:pageBreakBefore w:val="0"/>
        <w:kinsoku/>
        <w:overflowPunct/>
        <w:topLinePunct w:val="0"/>
        <w:bidi w:val="0"/>
        <w:snapToGrid/>
        <w:textAlignment w:val="auto"/>
        <w:rPr>
          <w:rFonts w:hint="eastAsia" w:ascii="仿宋" w:hAnsi="仿宋" w:eastAsia="仿宋" w:cs="仿宋"/>
          <w:color w:val="000000"/>
          <w:sz w:val="24"/>
          <w:szCs w:val="24"/>
          <w:lang w:val="en-US" w:eastAsia="zh-CN"/>
        </w:rPr>
      </w:pPr>
      <w:bookmarkStart w:id="30" w:name="_Toc163492821"/>
      <w:bookmarkStart w:id="31" w:name="_Toc155185869"/>
      <w:r>
        <w:rPr>
          <w:rFonts w:hint="eastAsia" w:ascii="仿宋" w:hAnsi="仿宋" w:eastAsia="仿宋" w:cs="仿宋"/>
          <w:color w:val="000000"/>
          <w:sz w:val="24"/>
          <w:szCs w:val="24"/>
          <w:lang w:val="en-US" w:eastAsia="zh-CN"/>
        </w:rPr>
        <w:br w:type="page"/>
      </w:r>
    </w:p>
    <w:p w14:paraId="75F20062">
      <w:pPr>
        <w:pStyle w:val="3"/>
        <w:keepNext/>
        <w:keepLines/>
        <w:pageBreakBefore w:val="0"/>
        <w:widowControl w:val="0"/>
        <w:kinsoku/>
        <w:wordWrap/>
        <w:overflowPunct/>
        <w:topLinePunct w:val="0"/>
        <w:autoSpaceDE w:val="0"/>
        <w:autoSpaceDN w:val="0"/>
        <w:bidi w:val="0"/>
        <w:adjustRightInd w:val="0"/>
        <w:snapToGrid/>
        <w:spacing w:before="157" w:beforeLines="50" w:after="0" w:line="360" w:lineRule="auto"/>
        <w:ind w:firstLine="643" w:firstLineChars="200"/>
        <w:jc w:val="both"/>
        <w:textAlignment w:val="auto"/>
        <w:outlineLvl w:val="1"/>
        <w:rPr>
          <w:rFonts w:hint="default" w:ascii="仿宋" w:hAnsi="仿宋" w:eastAsia="仿宋" w:cs="仿宋"/>
          <w:sz w:val="32"/>
          <w:szCs w:val="32"/>
          <w:lang w:val="en-US" w:eastAsia="zh-CN"/>
        </w:rPr>
      </w:pPr>
      <w:bookmarkStart w:id="32" w:name="_Toc16736"/>
      <w:r>
        <w:rPr>
          <w:rFonts w:hint="eastAsia" w:ascii="仿宋" w:hAnsi="仿宋" w:eastAsia="仿宋" w:cs="仿宋"/>
          <w:sz w:val="32"/>
          <w:szCs w:val="32"/>
          <w:lang w:val="en-US" w:eastAsia="zh-CN"/>
        </w:rPr>
        <w:t>二、投标人须知</w:t>
      </w:r>
      <w:bookmarkEnd w:id="30"/>
      <w:bookmarkEnd w:id="31"/>
      <w:bookmarkEnd w:id="32"/>
    </w:p>
    <w:p w14:paraId="7D352422">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33" w:name="_Toc168416648"/>
      <w:bookmarkStart w:id="34" w:name="_Toc155185870"/>
      <w:bookmarkStart w:id="35" w:name="_Toc163492822"/>
      <w:r>
        <w:rPr>
          <w:rFonts w:hint="eastAsia" w:ascii="仿宋" w:hAnsi="仿宋" w:eastAsia="仿宋" w:cs="仿宋"/>
          <w:sz w:val="24"/>
          <w:szCs w:val="24"/>
        </w:rPr>
        <w:t>（一）总则</w:t>
      </w:r>
      <w:bookmarkEnd w:id="33"/>
      <w:bookmarkEnd w:id="34"/>
      <w:bookmarkEnd w:id="35"/>
    </w:p>
    <w:p w14:paraId="2F8BD941">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36" w:name="_Toc109900050"/>
      <w:bookmarkStart w:id="37" w:name="_Toc155095689"/>
      <w:bookmarkStart w:id="38" w:name="_Toc109897532"/>
      <w:bookmarkStart w:id="39" w:name="_Toc109900469"/>
      <w:bookmarkStart w:id="40" w:name="_Toc109899631"/>
      <w:bookmarkStart w:id="41" w:name="_Toc31233"/>
      <w:bookmarkStart w:id="42" w:name="_Toc163492823"/>
      <w:r>
        <w:rPr>
          <w:rFonts w:hint="eastAsia" w:ascii="仿宋" w:hAnsi="仿宋" w:eastAsia="仿宋" w:cs="仿宋"/>
          <w:sz w:val="24"/>
          <w:szCs w:val="24"/>
        </w:rPr>
        <w:t>适用范围</w:t>
      </w:r>
      <w:bookmarkEnd w:id="36"/>
      <w:bookmarkEnd w:id="37"/>
      <w:bookmarkEnd w:id="38"/>
      <w:bookmarkEnd w:id="39"/>
      <w:bookmarkEnd w:id="40"/>
      <w:bookmarkEnd w:id="41"/>
      <w:bookmarkEnd w:id="42"/>
    </w:p>
    <w:p w14:paraId="03AF3723">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rPr>
        <w:t>1.1本招标文件仅适用于本次公开招标中所述项目的采购活动。</w:t>
      </w:r>
    </w:p>
    <w:p w14:paraId="1813732D">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43" w:name="_Toc163492824"/>
      <w:r>
        <w:rPr>
          <w:rFonts w:hint="eastAsia" w:ascii="仿宋" w:hAnsi="仿宋" w:eastAsia="仿宋" w:cs="仿宋"/>
          <w:sz w:val="24"/>
          <w:szCs w:val="24"/>
        </w:rPr>
        <w:t>基本定义</w:t>
      </w:r>
      <w:bookmarkEnd w:id="43"/>
    </w:p>
    <w:p w14:paraId="7E737002">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w:t>
      </w:r>
      <w:r>
        <w:rPr>
          <w:rFonts w:hint="eastAsia" w:ascii="仿宋" w:hAnsi="仿宋" w:eastAsia="仿宋" w:cs="仿宋"/>
          <w:sz w:val="24"/>
          <w:szCs w:val="24"/>
          <w:lang w:val="en-US" w:eastAsia="zh-CN"/>
        </w:rPr>
        <w:t>参照</w:t>
      </w:r>
      <w:r>
        <w:rPr>
          <w:rFonts w:hint="eastAsia" w:ascii="仿宋" w:hAnsi="仿宋" w:eastAsia="仿宋" w:cs="仿宋"/>
          <w:sz w:val="24"/>
          <w:szCs w:val="24"/>
        </w:rPr>
        <w:t>《中华人民共和国政府采购法》及其实施条例等有关法律、法规和规章的规定，制定本招标文件。</w:t>
      </w:r>
    </w:p>
    <w:p w14:paraId="436B8380">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2.2采购人：见“投标人须知前附表”。</w:t>
      </w:r>
    </w:p>
    <w:p w14:paraId="02072589">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2.3采购代理机构：见“投标人须知前附表”。</w:t>
      </w:r>
    </w:p>
    <w:p w14:paraId="00741C8E">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2.4采购监督管理部门：见“投标人须知前附表”。</w:t>
      </w:r>
    </w:p>
    <w:p w14:paraId="6E6ED5BC">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2.5项目名称：见“投标人须知前附表”。</w:t>
      </w:r>
    </w:p>
    <w:p w14:paraId="6832ECE9">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2.6项目地点：见“投标人须知前附表”。</w:t>
      </w:r>
    </w:p>
    <w:p w14:paraId="4A380064">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2.7项目内容：见“投标人须知前附表”。</w:t>
      </w:r>
    </w:p>
    <w:p w14:paraId="2D52165B">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2.8项目属性：见“投标人须知前附表”。</w:t>
      </w:r>
    </w:p>
    <w:p w14:paraId="584E8935">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44" w:name="_Toc140132758"/>
      <w:bookmarkStart w:id="45" w:name="_Toc163492825"/>
      <w:r>
        <w:rPr>
          <w:rFonts w:hint="eastAsia" w:ascii="仿宋" w:hAnsi="仿宋" w:eastAsia="仿宋" w:cs="仿宋"/>
          <w:sz w:val="24"/>
          <w:szCs w:val="24"/>
        </w:rPr>
        <w:t>资金来源</w:t>
      </w:r>
      <w:bookmarkEnd w:id="44"/>
      <w:bookmarkEnd w:id="45"/>
    </w:p>
    <w:p w14:paraId="62810288">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3.1资金来源：见“投标人须知前附表”。</w:t>
      </w:r>
    </w:p>
    <w:p w14:paraId="50BD6664">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46" w:name="_Toc140132760"/>
      <w:bookmarkStart w:id="47" w:name="_Toc163492826"/>
      <w:r>
        <w:rPr>
          <w:rFonts w:hint="eastAsia" w:ascii="仿宋" w:hAnsi="仿宋" w:eastAsia="仿宋" w:cs="仿宋"/>
          <w:sz w:val="24"/>
          <w:szCs w:val="24"/>
        </w:rPr>
        <w:t>投标人资格要求</w:t>
      </w:r>
      <w:bookmarkEnd w:id="46"/>
      <w:bookmarkEnd w:id="47"/>
    </w:p>
    <w:p w14:paraId="61B20873">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4.1投标人资格要求：见“投标人须知前附表”。</w:t>
      </w:r>
    </w:p>
    <w:p w14:paraId="6B0594A3">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4.2“投标人须知前附表”规定接受联合体投标的，还应遵守以下规定：</w:t>
      </w:r>
    </w:p>
    <w:p w14:paraId="20305F2A">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（1）联合体各方应按招标文件提供的格式签订联合体协议书，明确联合体牵头人和各方权利义务；</w:t>
      </w:r>
    </w:p>
    <w:p w14:paraId="17749721">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（2）由同一专业的单位组成的联合体，按照资质等级较低的单位确定资质等级；</w:t>
      </w:r>
    </w:p>
    <w:p w14:paraId="29636B80">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（3）联合体各方不得再以自己名义单独或参加其他联合体在本招标项目中投标。</w:t>
      </w:r>
    </w:p>
    <w:p w14:paraId="1C662038">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48" w:name="_Toc163492827"/>
      <w:r>
        <w:rPr>
          <w:rFonts w:hint="eastAsia" w:ascii="仿宋" w:hAnsi="仿宋" w:eastAsia="仿宋" w:cs="仿宋"/>
          <w:sz w:val="24"/>
          <w:szCs w:val="24"/>
        </w:rPr>
        <w:t>费用承担</w:t>
      </w:r>
      <w:bookmarkEnd w:id="48"/>
    </w:p>
    <w:p w14:paraId="152BB133">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5.1不论投标的结果如何，投标人应承担所有与准备和参加投标有关的费用。</w:t>
      </w:r>
    </w:p>
    <w:p w14:paraId="56DA27EE">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49" w:name="_Toc140132761"/>
      <w:bookmarkStart w:id="50" w:name="_Toc163492828"/>
      <w:r>
        <w:rPr>
          <w:rFonts w:hint="eastAsia" w:ascii="仿宋" w:hAnsi="仿宋" w:eastAsia="仿宋" w:cs="仿宋"/>
          <w:sz w:val="24"/>
          <w:szCs w:val="24"/>
        </w:rPr>
        <w:t>保密</w:t>
      </w:r>
      <w:bookmarkEnd w:id="49"/>
      <w:bookmarkEnd w:id="50"/>
    </w:p>
    <w:p w14:paraId="755A3EA9">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6.1参与招标投标活动的各方应对招标文件和投标文件中的商业和技术等秘密保密，否则应承担相应的法律责任。</w:t>
      </w:r>
    </w:p>
    <w:p w14:paraId="1791CE6B">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51" w:name="_Toc140132762"/>
      <w:bookmarkStart w:id="52" w:name="_Toc163492829"/>
      <w:r>
        <w:rPr>
          <w:rFonts w:hint="eastAsia" w:ascii="仿宋" w:hAnsi="仿宋" w:eastAsia="仿宋" w:cs="仿宋"/>
          <w:sz w:val="24"/>
          <w:szCs w:val="24"/>
        </w:rPr>
        <w:t>语言文字</w:t>
      </w:r>
      <w:bookmarkEnd w:id="51"/>
      <w:bookmarkEnd w:id="52"/>
    </w:p>
    <w:p w14:paraId="19DC76D6">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7.1招标投标文件使用的语言文字为中文。专用术语使用外文的，应附有中文注释。</w:t>
      </w:r>
    </w:p>
    <w:p w14:paraId="6A310497">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53" w:name="_Toc140132763"/>
      <w:bookmarkStart w:id="54" w:name="_Toc163492830"/>
      <w:r>
        <w:rPr>
          <w:rFonts w:hint="eastAsia" w:ascii="仿宋" w:hAnsi="仿宋" w:eastAsia="仿宋" w:cs="仿宋"/>
          <w:sz w:val="24"/>
          <w:szCs w:val="24"/>
        </w:rPr>
        <w:t>计量单位</w:t>
      </w:r>
      <w:bookmarkEnd w:id="53"/>
      <w:bookmarkEnd w:id="54"/>
    </w:p>
    <w:p w14:paraId="099B895F">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8.1所有计量均采用中华人民共和国法定计量单位。</w:t>
      </w:r>
    </w:p>
    <w:p w14:paraId="1B185BF7">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55" w:name="_Toc163492831"/>
      <w:bookmarkStart w:id="56" w:name="_Toc140132764"/>
      <w:r>
        <w:rPr>
          <w:rFonts w:hint="eastAsia" w:ascii="仿宋" w:hAnsi="仿宋" w:eastAsia="仿宋" w:cs="仿宋"/>
          <w:sz w:val="24"/>
          <w:szCs w:val="24"/>
        </w:rPr>
        <w:t>现场考察和答疑会</w:t>
      </w:r>
      <w:bookmarkEnd w:id="55"/>
      <w:bookmarkEnd w:id="56"/>
    </w:p>
    <w:p w14:paraId="6A4CF93C">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bookmarkStart w:id="57" w:name="_Hlk143529198"/>
      <w:r>
        <w:rPr>
          <w:rFonts w:hint="eastAsia" w:ascii="仿宋" w:hAnsi="仿宋" w:eastAsia="仿宋" w:cs="仿宋"/>
          <w:sz w:val="24"/>
          <w:szCs w:val="24"/>
        </w:rPr>
        <w:t>9.1“投标人须知前附表”规定组织现场考察的，采购代理机构按“投标人须知前附表”规定的时间、地点组织投标人项目现场考察。</w:t>
      </w:r>
    </w:p>
    <w:p w14:paraId="15CAFB39">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9.2投标人现场考察发生的费用自理。</w:t>
      </w:r>
    </w:p>
    <w:p w14:paraId="4B17985F">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9.3在现场考察中，因投标人自身原因发生的人员伤亡和财产损失，由投标人自行负责。</w:t>
      </w:r>
    </w:p>
    <w:p w14:paraId="27003360">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9.4采购人在现场考察中介绍的项目场地和相关的周边环境情况，仅供投标人在编制投标文件时参考，采购人和采购代理机构不对投标人据此作出的判断和决策负责。</w:t>
      </w:r>
    </w:p>
    <w:p w14:paraId="644EE649">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9.5“投标人须知前附表”规定召开答疑会的，采购代理机构按“投标人须知前附表”规定的时间和地点召开答疑会，澄清投标人提出的问题。</w:t>
      </w:r>
    </w:p>
    <w:bookmarkEnd w:id="57"/>
    <w:p w14:paraId="68C9D2CF">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58" w:name="_Toc140132765"/>
      <w:bookmarkStart w:id="59" w:name="_Toc163492832"/>
      <w:r>
        <w:rPr>
          <w:rFonts w:hint="eastAsia" w:ascii="仿宋" w:hAnsi="仿宋" w:eastAsia="仿宋" w:cs="仿宋"/>
          <w:sz w:val="24"/>
          <w:szCs w:val="24"/>
        </w:rPr>
        <w:t>中标后分包</w:t>
      </w:r>
      <w:bookmarkEnd w:id="58"/>
      <w:bookmarkEnd w:id="59"/>
    </w:p>
    <w:p w14:paraId="6581EAE3">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10.1“投标人须知前附表”规定允许分包的，投标人应当遵守其分包规定。</w:t>
      </w:r>
    </w:p>
    <w:p w14:paraId="73B9A9CC">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10.2投标人未遵守招标文件分包规定的，其</w:t>
      </w:r>
      <w:r>
        <w:rPr>
          <w:rFonts w:hint="eastAsia" w:ascii="仿宋" w:hAnsi="仿宋" w:eastAsia="仿宋" w:cs="仿宋"/>
          <w:b/>
          <w:bCs/>
          <w:sz w:val="24"/>
          <w:szCs w:val="24"/>
        </w:rPr>
        <w:t>投标无效</w:t>
      </w:r>
      <w:r>
        <w:rPr>
          <w:rFonts w:hint="eastAsia" w:ascii="仿宋" w:hAnsi="仿宋" w:eastAsia="仿宋" w:cs="仿宋"/>
          <w:sz w:val="24"/>
          <w:szCs w:val="24"/>
        </w:rPr>
        <w:t>。分包规定见“投标人须知前附表”。</w:t>
      </w:r>
    </w:p>
    <w:p w14:paraId="6BEDD807">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60" w:name="_Toc163492834"/>
      <w:bookmarkStart w:id="61" w:name="_Toc168416649"/>
      <w:bookmarkStart w:id="62" w:name="_Toc155185871"/>
      <w:r>
        <w:rPr>
          <w:rFonts w:hint="eastAsia" w:ascii="仿宋" w:hAnsi="仿宋" w:eastAsia="仿宋" w:cs="仿宋"/>
          <w:sz w:val="24"/>
          <w:szCs w:val="24"/>
        </w:rPr>
        <w:t>（二）招标文件</w:t>
      </w:r>
      <w:bookmarkEnd w:id="60"/>
      <w:bookmarkEnd w:id="61"/>
      <w:bookmarkEnd w:id="62"/>
    </w:p>
    <w:p w14:paraId="49F7A123">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63" w:name="_Toc140132768"/>
      <w:bookmarkStart w:id="64" w:name="_Toc163492835"/>
      <w:r>
        <w:rPr>
          <w:rFonts w:hint="eastAsia" w:ascii="仿宋" w:hAnsi="仿宋" w:eastAsia="仿宋" w:cs="仿宋"/>
          <w:sz w:val="24"/>
          <w:szCs w:val="24"/>
        </w:rPr>
        <w:t>招标文件的组成</w:t>
      </w:r>
      <w:bookmarkEnd w:id="63"/>
      <w:bookmarkEnd w:id="64"/>
    </w:p>
    <w:p w14:paraId="02A2B6CA">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11</w:t>
      </w:r>
      <w:r>
        <w:rPr>
          <w:rFonts w:hint="eastAsia" w:ascii="仿宋" w:hAnsi="仿宋" w:eastAsia="仿宋" w:cs="仿宋"/>
          <w:sz w:val="24"/>
          <w:szCs w:val="24"/>
        </w:rPr>
        <w:t>.1本招标文件包括下列文件及根据本章第9款、第</w:t>
      </w:r>
      <w:r>
        <w:rPr>
          <w:rFonts w:hint="eastAsia" w:ascii="仿宋" w:hAnsi="仿宋" w:eastAsia="仿宋" w:cs="仿宋"/>
          <w:sz w:val="24"/>
          <w:szCs w:val="24"/>
          <w:lang w:val="en-US" w:eastAsia="zh-CN"/>
        </w:rPr>
        <w:t>12</w:t>
      </w:r>
      <w:r>
        <w:rPr>
          <w:rFonts w:hint="eastAsia" w:ascii="仿宋" w:hAnsi="仿宋" w:eastAsia="仿宋" w:cs="仿宋"/>
          <w:sz w:val="24"/>
          <w:szCs w:val="24"/>
        </w:rPr>
        <w:t>款对招标文件所作的澄清或者修改。</w:t>
      </w:r>
    </w:p>
    <w:p w14:paraId="2A934420">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第一章 投标邀请</w:t>
      </w:r>
    </w:p>
    <w:p w14:paraId="7159EF99">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第二章 投标人须知</w:t>
      </w:r>
    </w:p>
    <w:p w14:paraId="2082E536">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第三章 采购需求</w:t>
      </w:r>
    </w:p>
    <w:p w14:paraId="2E0DD919">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第四章 资格审查方法及标准</w:t>
      </w:r>
    </w:p>
    <w:p w14:paraId="6C9CA5B8">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第五章 评标办法及标准</w:t>
      </w:r>
    </w:p>
    <w:p w14:paraId="50C8F07C">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第六章 合同草案</w:t>
      </w:r>
    </w:p>
    <w:p w14:paraId="4611B1B2">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第七章 投标文件的格式</w:t>
      </w:r>
    </w:p>
    <w:p w14:paraId="4C9F747E">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65" w:name="_Toc163492836"/>
      <w:bookmarkStart w:id="66" w:name="_Toc140132769"/>
      <w:r>
        <w:rPr>
          <w:rFonts w:hint="eastAsia" w:ascii="仿宋" w:hAnsi="仿宋" w:eastAsia="仿宋" w:cs="仿宋"/>
          <w:sz w:val="24"/>
          <w:szCs w:val="24"/>
        </w:rPr>
        <w:t>招标文件的询问、澄清或者修改</w:t>
      </w:r>
      <w:bookmarkEnd w:id="65"/>
      <w:bookmarkEnd w:id="66"/>
    </w:p>
    <w:p w14:paraId="69FEA970">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1投标人对采购项目有疑问的，可以按照“投标人须知前附表”中的规定提出询问。采购人或采购代理机构将在收到询问后依法予以答复。对招标文件询问的答复，在必要时将以澄清形式推送给每个获取招标文件的潜在投标人(答复中不包括问题的来源)。</w:t>
      </w:r>
    </w:p>
    <w:p w14:paraId="4AE68896">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.2采购人或者采购代理机构可以对已发出的招标文件进行必要的澄清或者修改。澄清或修改的内容为招标文件的组成部分，并对所有获取招标文件的潜在投标人具有约束力。</w:t>
      </w:r>
    </w:p>
    <w:p w14:paraId="24FC87D0">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3招标文件的澄清或者修改以书面形式发给所有领取招标文件的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31416033">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.4本</w:t>
      </w:r>
      <w:r>
        <w:rPr>
          <w:rFonts w:hint="eastAsia" w:ascii="仿宋" w:hAnsi="仿宋" w:eastAsia="仿宋" w:cs="仿宋"/>
          <w:sz w:val="24"/>
          <w:szCs w:val="24"/>
          <w:lang w:eastAsia="zh-CN"/>
        </w:rPr>
        <w:t>“</w:t>
      </w:r>
      <w:r>
        <w:rPr>
          <w:rFonts w:hint="eastAsia" w:ascii="仿宋" w:hAnsi="仿宋" w:eastAsia="仿宋" w:cs="仿宋"/>
          <w:sz w:val="24"/>
          <w:szCs w:val="24"/>
        </w:rPr>
        <w:t>投标人须知”所称“书面形式”包括系统消息、</w:t>
      </w:r>
      <w:r>
        <w:rPr>
          <w:rFonts w:hint="default" w:ascii="仿宋" w:hAnsi="仿宋" w:eastAsia="仿宋" w:cs="仿宋"/>
          <w:sz w:val="24"/>
          <w:szCs w:val="24"/>
          <w:highlight w:val="none"/>
          <w:lang w:val="en-US"/>
        </w:rPr>
        <w:t>湖北省政府采购协会官网</w:t>
      </w:r>
      <w:r>
        <w:rPr>
          <w:rFonts w:hint="eastAsia" w:ascii="仿宋" w:hAnsi="仿宋" w:eastAsia="仿宋" w:cs="仿宋"/>
          <w:sz w:val="24"/>
          <w:szCs w:val="24"/>
        </w:rPr>
        <w:t>中发布的公告。</w:t>
      </w:r>
    </w:p>
    <w:p w14:paraId="64A6C548">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67" w:name="_Toc163492837"/>
      <w:bookmarkStart w:id="68" w:name="_Toc155185872"/>
      <w:bookmarkStart w:id="69" w:name="_Toc168416650"/>
      <w:r>
        <w:rPr>
          <w:rFonts w:hint="eastAsia" w:ascii="仿宋" w:hAnsi="仿宋" w:eastAsia="仿宋" w:cs="仿宋"/>
          <w:sz w:val="24"/>
          <w:szCs w:val="24"/>
        </w:rPr>
        <w:t>（三）投标文件</w:t>
      </w:r>
      <w:bookmarkEnd w:id="67"/>
      <w:bookmarkEnd w:id="68"/>
      <w:bookmarkEnd w:id="69"/>
    </w:p>
    <w:p w14:paraId="3B7411A5">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70" w:name="_Toc163492838"/>
      <w:r>
        <w:rPr>
          <w:rFonts w:hint="eastAsia" w:ascii="仿宋" w:hAnsi="仿宋" w:eastAsia="仿宋" w:cs="仿宋"/>
          <w:sz w:val="24"/>
          <w:szCs w:val="24"/>
        </w:rPr>
        <w:t>投标文件的组成</w:t>
      </w:r>
      <w:bookmarkEnd w:id="70"/>
    </w:p>
    <w:p w14:paraId="76F19915">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13</w:t>
      </w:r>
      <w:r>
        <w:rPr>
          <w:rFonts w:hint="eastAsia" w:ascii="仿宋" w:hAnsi="仿宋" w:eastAsia="仿宋" w:cs="仿宋"/>
          <w:sz w:val="24"/>
          <w:szCs w:val="24"/>
        </w:rPr>
        <w:t>.1投标函及报价文件</w:t>
      </w:r>
    </w:p>
    <w:p w14:paraId="40E41E7C">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（1）投标函</w:t>
      </w:r>
    </w:p>
    <w:p w14:paraId="733331CD">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（2）开标一览表</w:t>
      </w:r>
    </w:p>
    <w:p w14:paraId="2F84F375">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）法定代表人（负责人）身份证明</w:t>
      </w:r>
    </w:p>
    <w:p w14:paraId="34AAAB5E">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）法定代表人（负责人）授权书</w:t>
      </w:r>
    </w:p>
    <w:p w14:paraId="5471EADA">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13</w:t>
      </w:r>
      <w:r>
        <w:rPr>
          <w:rFonts w:hint="eastAsia" w:ascii="仿宋" w:hAnsi="仿宋" w:eastAsia="仿宋" w:cs="仿宋"/>
          <w:sz w:val="24"/>
          <w:szCs w:val="24"/>
        </w:rPr>
        <w:t>.2 资格证明文件</w:t>
      </w:r>
    </w:p>
    <w:p w14:paraId="0869451C">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（1）企业法人营业执照、事业单位法人证书或团体组织法人证书</w:t>
      </w:r>
    </w:p>
    <w:p w14:paraId="779341BC">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（2）资格条件承诺书</w:t>
      </w:r>
    </w:p>
    <w:p w14:paraId="119AF86C">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（3）资格证明文件</w:t>
      </w:r>
    </w:p>
    <w:p w14:paraId="2C440996">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（4）其他资格证明文件</w:t>
      </w:r>
    </w:p>
    <w:p w14:paraId="5078341D">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13</w:t>
      </w:r>
      <w:r>
        <w:rPr>
          <w:rFonts w:hint="eastAsia" w:ascii="仿宋" w:hAnsi="仿宋" w:eastAsia="仿宋" w:cs="仿宋"/>
          <w:sz w:val="24"/>
          <w:szCs w:val="24"/>
        </w:rPr>
        <w:t>.3其他响应文件</w:t>
      </w:r>
    </w:p>
    <w:p w14:paraId="4EE3C243">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13</w:t>
      </w:r>
      <w:r>
        <w:rPr>
          <w:rFonts w:hint="eastAsia" w:ascii="仿宋" w:hAnsi="仿宋" w:eastAsia="仿宋" w:cs="仿宋"/>
          <w:sz w:val="24"/>
          <w:szCs w:val="24"/>
        </w:rPr>
        <w:t>.3.1商务部分</w:t>
      </w:r>
    </w:p>
    <w:p w14:paraId="0153A926">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1</w:t>
      </w:r>
      <w:r>
        <w:rPr>
          <w:rFonts w:hint="eastAsia" w:ascii="仿宋" w:hAnsi="仿宋" w:eastAsia="仿宋" w:cs="仿宋"/>
          <w:sz w:val="24"/>
          <w:szCs w:val="24"/>
        </w:rPr>
        <w:t>）商务响应偏离表</w:t>
      </w:r>
    </w:p>
    <w:p w14:paraId="0DF69E4B">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）业绩证明文件</w:t>
      </w:r>
    </w:p>
    <w:p w14:paraId="40DE5B28">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）拟派项目团队</w:t>
      </w:r>
    </w:p>
    <w:p w14:paraId="098C5A13">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）其它商务文件</w:t>
      </w:r>
    </w:p>
    <w:p w14:paraId="73B78E51">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13</w:t>
      </w:r>
      <w:r>
        <w:rPr>
          <w:rFonts w:hint="eastAsia" w:ascii="仿宋" w:hAnsi="仿宋" w:eastAsia="仿宋" w:cs="仿宋"/>
          <w:sz w:val="24"/>
          <w:szCs w:val="24"/>
        </w:rPr>
        <w:t>.3.2技术部分</w:t>
      </w:r>
    </w:p>
    <w:p w14:paraId="7E20EE1E">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（1）技术响应偏离表</w:t>
      </w:r>
    </w:p>
    <w:p w14:paraId="38ED10BB">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（2）技术方案</w:t>
      </w:r>
    </w:p>
    <w:p w14:paraId="75380B51">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（3）其他技术文件</w:t>
      </w:r>
    </w:p>
    <w:p w14:paraId="74793373">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bookmarkStart w:id="71" w:name="_Hlk161562968"/>
      <w:r>
        <w:rPr>
          <w:rFonts w:hint="eastAsia" w:ascii="仿宋" w:hAnsi="仿宋" w:eastAsia="仿宋" w:cs="仿宋"/>
          <w:sz w:val="24"/>
          <w:szCs w:val="24"/>
          <w:lang w:val="en-US" w:eastAsia="zh-CN"/>
        </w:rPr>
        <w:t>13</w:t>
      </w:r>
      <w:r>
        <w:rPr>
          <w:rFonts w:hint="eastAsia" w:ascii="仿宋" w:hAnsi="仿宋" w:eastAsia="仿宋" w:cs="仿宋"/>
          <w:sz w:val="24"/>
          <w:szCs w:val="24"/>
        </w:rPr>
        <w:t>.3.3落实政府采购政策相关证明文件</w:t>
      </w:r>
      <w:bookmarkEnd w:id="71"/>
    </w:p>
    <w:p w14:paraId="25924975">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（1）节能环保产品清单及证明材料【如适用】</w:t>
      </w:r>
    </w:p>
    <w:p w14:paraId="139333F7">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（2）中小企业声明函【如适用】</w:t>
      </w:r>
    </w:p>
    <w:p w14:paraId="7C84E4B3">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（3）监狱企业证明文件【如适用】</w:t>
      </w:r>
    </w:p>
    <w:p w14:paraId="77B60F63">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（4）残疾人福利性单位声明函【如适用】</w:t>
      </w:r>
    </w:p>
    <w:p w14:paraId="72ADB722">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（5）投标人认为需要提供的其他资料</w:t>
      </w:r>
    </w:p>
    <w:p w14:paraId="0694BAF0">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72" w:name="_Toc163492839"/>
      <w:bookmarkStart w:id="73" w:name="_Toc140132772"/>
      <w:r>
        <w:rPr>
          <w:rFonts w:hint="eastAsia" w:ascii="仿宋" w:hAnsi="仿宋" w:eastAsia="仿宋" w:cs="仿宋"/>
          <w:sz w:val="24"/>
          <w:szCs w:val="24"/>
        </w:rPr>
        <w:t>投标报价</w:t>
      </w:r>
      <w:bookmarkEnd w:id="72"/>
      <w:bookmarkEnd w:id="73"/>
    </w:p>
    <w:p w14:paraId="35BA6407">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lang w:val="zh-CN"/>
        </w:rPr>
      </w:pPr>
      <w:r>
        <w:rPr>
          <w:rFonts w:hint="eastAsia" w:ascii="仿宋" w:hAnsi="仿宋" w:eastAsia="仿宋" w:cs="仿宋"/>
          <w:snapToGrid w:val="0"/>
          <w:sz w:val="24"/>
          <w:szCs w:val="24"/>
          <w:lang w:val="en-US" w:eastAsia="zh-CN"/>
        </w:rPr>
        <w:t>14</w:t>
      </w:r>
      <w:r>
        <w:rPr>
          <w:rFonts w:hint="eastAsia" w:ascii="仿宋" w:hAnsi="仿宋" w:eastAsia="仿宋" w:cs="仿宋"/>
          <w:snapToGrid w:val="0"/>
          <w:sz w:val="24"/>
          <w:szCs w:val="24"/>
        </w:rPr>
        <w:t>.1</w:t>
      </w:r>
      <w:r>
        <w:rPr>
          <w:rFonts w:hint="eastAsia" w:ascii="仿宋" w:hAnsi="仿宋" w:eastAsia="仿宋" w:cs="仿宋"/>
          <w:snapToGrid w:val="0"/>
          <w:color w:val="auto"/>
          <w:sz w:val="24"/>
          <w:szCs w:val="24"/>
          <w:lang w:val="zh-CN"/>
        </w:rPr>
        <w:t>投标人的报价均应以</w:t>
      </w:r>
      <w:r>
        <w:rPr>
          <w:rFonts w:hint="eastAsia" w:ascii="仿宋" w:hAnsi="仿宋" w:eastAsia="仿宋" w:cs="仿宋"/>
          <w:snapToGrid w:val="0"/>
          <w:color w:val="auto"/>
          <w:sz w:val="24"/>
          <w:szCs w:val="24"/>
          <w:lang w:val="en-US" w:eastAsia="zh-CN"/>
        </w:rPr>
        <w:t>折扣（%）</w:t>
      </w:r>
      <w:r>
        <w:rPr>
          <w:rFonts w:hint="eastAsia" w:ascii="仿宋" w:hAnsi="仿宋" w:eastAsia="仿宋" w:cs="仿宋"/>
          <w:snapToGrid w:val="0"/>
          <w:color w:val="auto"/>
          <w:sz w:val="24"/>
          <w:szCs w:val="24"/>
          <w:lang w:val="zh-CN"/>
        </w:rPr>
        <w:t>进行报价</w:t>
      </w:r>
      <w:r>
        <w:rPr>
          <w:rFonts w:hint="eastAsia" w:ascii="仿宋" w:hAnsi="仿宋" w:eastAsia="仿宋" w:cs="仿宋"/>
          <w:snapToGrid w:val="0"/>
          <w:sz w:val="24"/>
          <w:szCs w:val="24"/>
          <w:lang w:val="zh-CN"/>
        </w:rPr>
        <w:t>。</w:t>
      </w:r>
    </w:p>
    <w:p w14:paraId="47A3BDCA">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val="en-US" w:eastAsia="zh-CN"/>
        </w:rPr>
        <w:t>14</w:t>
      </w:r>
      <w:r>
        <w:rPr>
          <w:rFonts w:hint="eastAsia" w:ascii="仿宋" w:hAnsi="仿宋" w:eastAsia="仿宋" w:cs="仿宋"/>
          <w:snapToGrid w:val="0"/>
          <w:sz w:val="24"/>
          <w:szCs w:val="24"/>
        </w:rPr>
        <w:t>.2投标人应按照本招标文件规定的报价方式进行报价，具体报价方式见“投标人须知前附表”。投标报价中不得包含招标文件要求以外的内容，否则，在评标时不予核减。投标报价中也不得遗漏招标文件所要求的内容，否则，其</w:t>
      </w:r>
      <w:r>
        <w:rPr>
          <w:rFonts w:hint="eastAsia" w:ascii="仿宋" w:hAnsi="仿宋" w:eastAsia="仿宋" w:cs="仿宋"/>
          <w:b/>
          <w:bCs/>
          <w:snapToGrid w:val="0"/>
          <w:sz w:val="24"/>
          <w:szCs w:val="24"/>
        </w:rPr>
        <w:t>投标无效</w:t>
      </w:r>
      <w:r>
        <w:rPr>
          <w:rFonts w:hint="eastAsia" w:ascii="仿宋" w:hAnsi="仿宋" w:eastAsia="仿宋" w:cs="仿宋"/>
          <w:snapToGrid w:val="0"/>
          <w:sz w:val="24"/>
          <w:szCs w:val="24"/>
        </w:rPr>
        <w:t>。</w:t>
      </w:r>
    </w:p>
    <w:p w14:paraId="191CD1A7">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lang w:val="zh-CN"/>
        </w:rPr>
      </w:pPr>
      <w:r>
        <w:rPr>
          <w:rFonts w:hint="eastAsia" w:ascii="仿宋" w:hAnsi="仿宋" w:eastAsia="仿宋" w:cs="仿宋"/>
          <w:snapToGrid w:val="0"/>
          <w:sz w:val="24"/>
          <w:szCs w:val="24"/>
          <w:lang w:val="en-US" w:eastAsia="zh-CN"/>
        </w:rPr>
        <w:t>14</w:t>
      </w:r>
      <w:r>
        <w:rPr>
          <w:rFonts w:hint="eastAsia" w:ascii="仿宋" w:hAnsi="仿宋" w:eastAsia="仿宋" w:cs="仿宋"/>
          <w:snapToGrid w:val="0"/>
          <w:sz w:val="24"/>
          <w:szCs w:val="24"/>
        </w:rPr>
        <w:t>.3</w:t>
      </w:r>
      <w:r>
        <w:rPr>
          <w:rFonts w:hint="eastAsia" w:ascii="仿宋" w:hAnsi="仿宋" w:eastAsia="仿宋" w:cs="仿宋"/>
          <w:snapToGrid w:val="0"/>
          <w:sz w:val="24"/>
          <w:szCs w:val="24"/>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交纳的费用都应包括在投标人提交的投标报价中。</w:t>
      </w:r>
    </w:p>
    <w:p w14:paraId="3ED7374C">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val="en-US" w:eastAsia="zh-CN"/>
        </w:rPr>
        <w:t>14</w:t>
      </w:r>
      <w:r>
        <w:rPr>
          <w:rFonts w:hint="eastAsia" w:ascii="仿宋" w:hAnsi="仿宋" w:eastAsia="仿宋" w:cs="仿宋"/>
          <w:snapToGrid w:val="0"/>
          <w:sz w:val="24"/>
          <w:szCs w:val="24"/>
        </w:rPr>
        <w:t>.4投标人在投标文件中注明免费的项目将视为包含在投标报价中。</w:t>
      </w:r>
    </w:p>
    <w:p w14:paraId="5C38523B">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val="en-US" w:eastAsia="zh-CN"/>
        </w:rPr>
        <w:t>14</w:t>
      </w:r>
      <w:r>
        <w:rPr>
          <w:rFonts w:hint="eastAsia" w:ascii="仿宋" w:hAnsi="仿宋" w:eastAsia="仿宋" w:cs="仿宋"/>
          <w:snapToGrid w:val="0"/>
          <w:sz w:val="24"/>
          <w:szCs w:val="24"/>
        </w:rPr>
        <w:t>.5每一种采购内容只允许有一个报价，否则其</w:t>
      </w:r>
      <w:r>
        <w:rPr>
          <w:rFonts w:hint="eastAsia" w:ascii="仿宋" w:hAnsi="仿宋" w:eastAsia="仿宋" w:cs="仿宋"/>
          <w:b/>
          <w:bCs/>
          <w:snapToGrid w:val="0"/>
          <w:sz w:val="24"/>
          <w:szCs w:val="24"/>
        </w:rPr>
        <w:t>投标无效</w:t>
      </w:r>
      <w:r>
        <w:rPr>
          <w:rFonts w:hint="eastAsia" w:ascii="仿宋" w:hAnsi="仿宋" w:eastAsia="仿宋" w:cs="仿宋"/>
          <w:snapToGrid w:val="0"/>
          <w:sz w:val="24"/>
          <w:szCs w:val="24"/>
        </w:rPr>
        <w:t>。</w:t>
      </w:r>
    </w:p>
    <w:p w14:paraId="2D691A4E">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14</w:t>
      </w:r>
      <w:r>
        <w:rPr>
          <w:rFonts w:hint="eastAsia" w:ascii="仿宋" w:hAnsi="仿宋" w:eastAsia="仿宋" w:cs="仿宋"/>
          <w:sz w:val="24"/>
          <w:szCs w:val="24"/>
        </w:rPr>
        <w:t>.6投标报价不得超过“投标人须知前附表”中规定的最高投标限价，否则评标委员会将否决其投标。</w:t>
      </w:r>
    </w:p>
    <w:p w14:paraId="3F27E910">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74" w:name="_Toc163492840"/>
      <w:bookmarkStart w:id="75" w:name="_Toc140132773"/>
      <w:r>
        <w:rPr>
          <w:rFonts w:hint="eastAsia" w:ascii="仿宋" w:hAnsi="仿宋" w:eastAsia="仿宋" w:cs="仿宋"/>
          <w:sz w:val="24"/>
          <w:szCs w:val="24"/>
        </w:rPr>
        <w:t>投标有效期</w:t>
      </w:r>
      <w:bookmarkEnd w:id="74"/>
      <w:bookmarkEnd w:id="75"/>
    </w:p>
    <w:p w14:paraId="3B202CEF">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15</w:t>
      </w:r>
      <w:r>
        <w:rPr>
          <w:rFonts w:hint="eastAsia" w:ascii="仿宋" w:hAnsi="仿宋" w:eastAsia="仿宋" w:cs="仿宋"/>
          <w:sz w:val="24"/>
          <w:szCs w:val="24"/>
        </w:rPr>
        <w:t>.1</w:t>
      </w:r>
      <w:r>
        <w:rPr>
          <w:rFonts w:hint="eastAsia" w:ascii="仿宋" w:hAnsi="仿宋" w:eastAsia="仿宋" w:cs="仿宋"/>
          <w:kern w:val="0"/>
          <w:sz w:val="24"/>
          <w:szCs w:val="24"/>
          <w:lang w:val="en"/>
        </w:rPr>
        <w:t>投标有效期</w:t>
      </w:r>
      <w:r>
        <w:rPr>
          <w:rFonts w:hint="eastAsia" w:ascii="仿宋" w:hAnsi="仿宋" w:eastAsia="仿宋" w:cs="仿宋"/>
          <w:sz w:val="24"/>
          <w:szCs w:val="24"/>
        </w:rPr>
        <w:t>见“投标人须知前附表”，投标人承诺的投标有效期不足的，其投标文件将被视为</w:t>
      </w:r>
      <w:r>
        <w:rPr>
          <w:rFonts w:hint="eastAsia" w:ascii="仿宋" w:hAnsi="仿宋" w:eastAsia="仿宋" w:cs="仿宋"/>
          <w:b/>
          <w:bCs/>
          <w:sz w:val="24"/>
          <w:szCs w:val="24"/>
        </w:rPr>
        <w:t>投标无效</w:t>
      </w:r>
      <w:r>
        <w:rPr>
          <w:rFonts w:hint="eastAsia" w:ascii="仿宋" w:hAnsi="仿宋" w:eastAsia="仿宋" w:cs="仿宋"/>
          <w:sz w:val="24"/>
          <w:szCs w:val="24"/>
        </w:rPr>
        <w:t>。</w:t>
      </w:r>
    </w:p>
    <w:p w14:paraId="18F201CA">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5</w:t>
      </w:r>
      <w:r>
        <w:rPr>
          <w:rFonts w:hint="eastAsia" w:ascii="仿宋" w:hAnsi="仿宋" w:eastAsia="仿宋" w:cs="仿宋"/>
          <w:sz w:val="24"/>
          <w:szCs w:val="24"/>
        </w:rPr>
        <w:t>.2特殊情况下，在原投标文件有效期截止之前，采购代理机构或采购人可要求投标人延长投标有效期。需要延长投标有效期时，采购代理机构或采购人将以书面形式通知所有投标人，投标人应以书面形式答复是否同意延长投标有效期。</w:t>
      </w:r>
    </w:p>
    <w:p w14:paraId="12194E1E">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5</w:t>
      </w:r>
      <w:r>
        <w:rPr>
          <w:rFonts w:hint="eastAsia" w:ascii="仿宋" w:hAnsi="仿宋" w:eastAsia="仿宋" w:cs="仿宋"/>
          <w:sz w:val="24"/>
          <w:szCs w:val="24"/>
        </w:rPr>
        <w:t>.3投标人同意延长的，不得要求或被允许修改或撤销其投标文件；投标人拒绝延长的，其投标文件在原投标有效期满后将不再有效。</w:t>
      </w:r>
    </w:p>
    <w:p w14:paraId="4B1B3018">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76" w:name="_Toc163492841"/>
      <w:bookmarkStart w:id="77" w:name="_Toc140132774"/>
      <w:r>
        <w:rPr>
          <w:rFonts w:hint="eastAsia" w:ascii="仿宋" w:hAnsi="仿宋" w:eastAsia="仿宋" w:cs="仿宋"/>
          <w:sz w:val="24"/>
          <w:szCs w:val="24"/>
        </w:rPr>
        <w:t>投标文件的编制</w:t>
      </w:r>
      <w:bookmarkEnd w:id="76"/>
      <w:bookmarkEnd w:id="77"/>
    </w:p>
    <w:p w14:paraId="263C8376">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16.1</w:t>
      </w:r>
      <w:r>
        <w:rPr>
          <w:rFonts w:hint="eastAsia" w:ascii="仿宋" w:hAnsi="仿宋" w:eastAsia="仿宋" w:cs="仿宋"/>
          <w:sz w:val="24"/>
          <w:szCs w:val="24"/>
        </w:rPr>
        <w:t>投标人应当对投标文件进行装订，对未经装订的投标书可能发生的文件散落或缺损，由此产生的后果其责任由投标人承担。</w:t>
      </w:r>
    </w:p>
    <w:p w14:paraId="6BDC5491">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16.2</w:t>
      </w:r>
      <w:r>
        <w:rPr>
          <w:rFonts w:hint="eastAsia" w:ascii="仿宋" w:hAnsi="仿宋" w:eastAsia="仿宋" w:cs="仿宋"/>
          <w:sz w:val="24"/>
          <w:szCs w:val="24"/>
        </w:rPr>
        <w:t>投标人应完整地填写招标文件中提供的《投标书》《</w:t>
      </w:r>
      <w:r>
        <w:rPr>
          <w:rFonts w:hint="eastAsia" w:ascii="仿宋" w:hAnsi="仿宋" w:eastAsia="仿宋" w:cs="仿宋"/>
          <w:sz w:val="24"/>
          <w:szCs w:val="24"/>
          <w:lang w:val="en-US" w:eastAsia="zh-CN"/>
        </w:rPr>
        <w:t>开</w:t>
      </w:r>
      <w:r>
        <w:rPr>
          <w:rFonts w:hint="eastAsia" w:ascii="仿宋" w:hAnsi="仿宋" w:eastAsia="仿宋" w:cs="仿宋"/>
          <w:sz w:val="24"/>
          <w:szCs w:val="24"/>
        </w:rPr>
        <w:t>标一览表》等招标文件中规定的所有内容。</w:t>
      </w:r>
    </w:p>
    <w:p w14:paraId="2A486D76">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16.3</w:t>
      </w:r>
      <w:r>
        <w:rPr>
          <w:rFonts w:hint="eastAsia" w:ascii="仿宋" w:hAnsi="仿宋" w:eastAsia="仿宋" w:cs="仿宋"/>
          <w:sz w:val="24"/>
          <w:szCs w:val="24"/>
        </w:rPr>
        <w:t>投标人必须保证投标文件所提供的全部资料真实可靠，并接受湖北中联太工程造价咨询有限公司对其中任何资料进一步核实的要求。</w:t>
      </w:r>
    </w:p>
    <w:p w14:paraId="4FC4F432">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16.4</w:t>
      </w:r>
      <w:r>
        <w:rPr>
          <w:rFonts w:hint="eastAsia" w:ascii="仿宋" w:hAnsi="仿宋" w:eastAsia="仿宋" w:cs="仿宋"/>
          <w:sz w:val="24"/>
          <w:szCs w:val="24"/>
        </w:rPr>
        <w:t>如果因为投标人投标文件填报的内容不详，或没有提供招标文件中所要求的全部资料及数据，由此造成的后果，其责任由投标人承担。</w:t>
      </w:r>
    </w:p>
    <w:p w14:paraId="469086D6">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16.5</w:t>
      </w:r>
      <w:r>
        <w:rPr>
          <w:rFonts w:hint="eastAsia" w:ascii="仿宋" w:hAnsi="仿宋" w:eastAsia="仿宋" w:cs="仿宋"/>
          <w:sz w:val="24"/>
          <w:szCs w:val="24"/>
        </w:rPr>
        <w:t>投标文件用纸外形尺寸应统一为A4纸规格。</w:t>
      </w:r>
    </w:p>
    <w:p w14:paraId="04BA5D84">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78" w:name="_Toc168416651"/>
      <w:bookmarkStart w:id="79" w:name="_Toc163492842"/>
      <w:bookmarkStart w:id="80" w:name="_Toc155185873"/>
      <w:r>
        <w:rPr>
          <w:rFonts w:hint="eastAsia" w:ascii="仿宋" w:hAnsi="仿宋" w:eastAsia="仿宋" w:cs="仿宋"/>
          <w:sz w:val="24"/>
          <w:szCs w:val="24"/>
        </w:rPr>
        <w:t>（四）投标</w:t>
      </w:r>
      <w:bookmarkEnd w:id="78"/>
      <w:bookmarkEnd w:id="79"/>
      <w:bookmarkEnd w:id="80"/>
    </w:p>
    <w:p w14:paraId="19CB84CC">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81" w:name="_Toc163492843"/>
      <w:r>
        <w:rPr>
          <w:rFonts w:hint="eastAsia" w:ascii="仿宋" w:hAnsi="仿宋" w:eastAsia="仿宋" w:cs="仿宋"/>
          <w:sz w:val="24"/>
          <w:szCs w:val="24"/>
        </w:rPr>
        <w:t>投标文件的</w:t>
      </w:r>
      <w:bookmarkEnd w:id="81"/>
      <w:r>
        <w:rPr>
          <w:rFonts w:hint="eastAsia" w:ascii="仿宋" w:hAnsi="仿宋" w:eastAsia="仿宋" w:cs="仿宋"/>
          <w:sz w:val="24"/>
          <w:szCs w:val="24"/>
          <w:lang w:val="en-US" w:eastAsia="zh-CN"/>
        </w:rPr>
        <w:t>密封</w:t>
      </w:r>
    </w:p>
    <w:p w14:paraId="056F227A">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bookmarkStart w:id="82" w:name="_Hlk143531864"/>
      <w:r>
        <w:rPr>
          <w:rFonts w:hint="eastAsia" w:ascii="仿宋" w:hAnsi="仿宋" w:eastAsia="仿宋" w:cs="仿宋"/>
          <w:sz w:val="24"/>
          <w:szCs w:val="24"/>
          <w:lang w:val="en-US" w:eastAsia="zh-CN"/>
        </w:rPr>
        <w:t>17.1</w:t>
      </w:r>
      <w:r>
        <w:rPr>
          <w:rFonts w:hint="eastAsia" w:ascii="仿宋" w:hAnsi="仿宋" w:eastAsia="仿宋" w:cs="仿宋"/>
          <w:sz w:val="24"/>
          <w:szCs w:val="24"/>
        </w:rPr>
        <w:t>为方便开标时唱标，投标人应将《</w:t>
      </w:r>
      <w:r>
        <w:rPr>
          <w:rFonts w:hint="eastAsia" w:ascii="仿宋" w:hAnsi="仿宋" w:eastAsia="仿宋" w:cs="仿宋"/>
          <w:sz w:val="24"/>
          <w:szCs w:val="24"/>
          <w:lang w:val="en-US" w:eastAsia="zh-CN"/>
        </w:rPr>
        <w:t>开</w:t>
      </w:r>
      <w:r>
        <w:rPr>
          <w:rFonts w:hint="eastAsia" w:ascii="仿宋" w:hAnsi="仿宋" w:eastAsia="仿宋" w:cs="仿宋"/>
          <w:sz w:val="24"/>
          <w:szCs w:val="24"/>
        </w:rPr>
        <w:t>标一览表》两份、《法定代表人身份证明书》一份、《法定代表人授权委托书》一份及投标文件电子版本（U盘储存）一份单独密封提交，并在信封上标明“</w:t>
      </w:r>
      <w:r>
        <w:rPr>
          <w:rFonts w:hint="eastAsia" w:ascii="仿宋" w:hAnsi="仿宋" w:eastAsia="仿宋" w:cs="仿宋"/>
          <w:sz w:val="24"/>
          <w:szCs w:val="24"/>
          <w:lang w:val="en-US" w:eastAsia="zh-CN"/>
        </w:rPr>
        <w:t>开</w:t>
      </w:r>
      <w:r>
        <w:rPr>
          <w:rFonts w:hint="eastAsia" w:ascii="仿宋" w:hAnsi="仿宋" w:eastAsia="仿宋" w:cs="仿宋"/>
          <w:sz w:val="24"/>
          <w:szCs w:val="24"/>
        </w:rPr>
        <w:t>标一览表”字样。投标人应将投标文件正本（正本的组成：资格审查文件、价格部分、商务部分、技术部分）和所有的副本一起密封包装，副本可以是原件也可以是正本的复印件，当副本和正本不一致时，以正本为准。</w:t>
      </w:r>
    </w:p>
    <w:p w14:paraId="359C38DF">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17.2</w:t>
      </w:r>
      <w:r>
        <w:rPr>
          <w:rFonts w:hint="eastAsia" w:ascii="仿宋" w:hAnsi="仿宋" w:eastAsia="仿宋" w:cs="仿宋"/>
          <w:sz w:val="24"/>
          <w:szCs w:val="24"/>
        </w:rPr>
        <w:t>包装上应注明采购项目名称、项目编号和有“在（招标文件中规定的开标日期和时间）之前不得启封”的字样，封口处加盖投标人印章。</w:t>
      </w:r>
    </w:p>
    <w:p w14:paraId="12F44033">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17.3</w:t>
      </w:r>
      <w:r>
        <w:rPr>
          <w:rFonts w:hint="eastAsia" w:ascii="仿宋" w:hAnsi="仿宋" w:eastAsia="仿宋" w:cs="仿宋"/>
          <w:sz w:val="24"/>
          <w:szCs w:val="24"/>
        </w:rPr>
        <w:t>如果未按招标文件要求密封的，湖北中联太工程造价咨询有限公司将有权拒绝并原封退回投标文件。</w:t>
      </w:r>
    </w:p>
    <w:bookmarkEnd w:id="82"/>
    <w:p w14:paraId="3A9B6C1A">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83" w:name="_Toc163492844"/>
      <w:bookmarkStart w:id="84" w:name="_Toc140132777"/>
      <w:r>
        <w:rPr>
          <w:rFonts w:hint="eastAsia" w:ascii="仿宋" w:hAnsi="仿宋" w:eastAsia="仿宋" w:cs="仿宋"/>
          <w:sz w:val="24"/>
          <w:szCs w:val="24"/>
        </w:rPr>
        <w:t>投标文件的递交</w:t>
      </w:r>
      <w:bookmarkEnd w:id="83"/>
      <w:bookmarkEnd w:id="84"/>
    </w:p>
    <w:p w14:paraId="66136077">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bookmarkStart w:id="85" w:name="_Hlk143531977"/>
      <w:r>
        <w:rPr>
          <w:rFonts w:hint="eastAsia" w:ascii="仿宋" w:hAnsi="仿宋" w:eastAsia="仿宋" w:cs="仿宋"/>
          <w:sz w:val="24"/>
          <w:szCs w:val="24"/>
          <w:lang w:val="en-US" w:eastAsia="zh-CN"/>
        </w:rPr>
        <w:t>18.</w:t>
      </w:r>
      <w:r>
        <w:rPr>
          <w:rFonts w:hint="eastAsia" w:ascii="仿宋" w:hAnsi="仿宋" w:eastAsia="仿宋" w:cs="仿宋"/>
          <w:sz w:val="24"/>
          <w:szCs w:val="24"/>
        </w:rPr>
        <w:t>1投标人应在投标人须知前附表规定的投标截止时间前递交投标文件。投标人递交投标文件的地点见投标人须知前附表。</w:t>
      </w:r>
    </w:p>
    <w:p w14:paraId="1799A57C">
      <w:pPr>
        <w:pageBreakBefore w:val="0"/>
        <w:kinsoku/>
        <w:overflowPunct/>
        <w:topLinePunct w:val="0"/>
        <w:autoSpaceDE/>
        <w:autoSpaceDN/>
        <w:bidi w:val="0"/>
        <w:snapToGrid/>
        <w:spacing w:line="360" w:lineRule="auto"/>
        <w:ind w:left="0"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18.2湖北中联太工程造价咨询有限公司将有权拒绝并原封退回在投标人须知前附表规定的投标截止时间后收到的任何投标文件。</w:t>
      </w:r>
    </w:p>
    <w:bookmarkEnd w:id="85"/>
    <w:p w14:paraId="089DD04B">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86" w:name="_Toc163492846"/>
      <w:bookmarkStart w:id="87" w:name="_Toc140132778"/>
      <w:r>
        <w:rPr>
          <w:rFonts w:hint="eastAsia" w:ascii="仿宋" w:hAnsi="仿宋" w:eastAsia="仿宋" w:cs="仿宋"/>
          <w:sz w:val="24"/>
          <w:szCs w:val="24"/>
        </w:rPr>
        <w:t>投标文件的修改与撤回</w:t>
      </w:r>
      <w:bookmarkEnd w:id="86"/>
      <w:bookmarkEnd w:id="87"/>
    </w:p>
    <w:p w14:paraId="722CA8C0">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19.1</w:t>
      </w:r>
      <w:r>
        <w:rPr>
          <w:rFonts w:hint="eastAsia" w:ascii="仿宋" w:hAnsi="仿宋" w:eastAsia="仿宋" w:cs="仿宋"/>
          <w:sz w:val="24"/>
          <w:szCs w:val="24"/>
        </w:rPr>
        <w:t>投标人在递交投标文件后，可以修改其投标文件，但投标人必须在投标人须知前附表规定的投标截止时间之前将修改的投标文件递交到投标人须知前附表规定的递交投标文件的地点。在投标截止期之后，投标人不得对其投标文件做任何修改。</w:t>
      </w:r>
    </w:p>
    <w:p w14:paraId="37DA970E">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19.2</w:t>
      </w:r>
      <w:r>
        <w:rPr>
          <w:rFonts w:hint="eastAsia" w:ascii="仿宋" w:hAnsi="仿宋" w:eastAsia="仿宋" w:cs="仿宋"/>
          <w:sz w:val="24"/>
          <w:szCs w:val="24"/>
        </w:rPr>
        <w:t>投标人在递交投标文件后，可以撤回其投标，但投标人必须在规定的投标截止期之前以书面形式告知湖北中联太工程造价咨询有限公司。</w:t>
      </w:r>
    </w:p>
    <w:p w14:paraId="2E3E80C4">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19.3</w:t>
      </w:r>
      <w:r>
        <w:rPr>
          <w:rFonts w:hint="eastAsia" w:ascii="仿宋" w:hAnsi="仿宋" w:eastAsia="仿宋" w:cs="仿宋"/>
          <w:sz w:val="24"/>
          <w:szCs w:val="24"/>
        </w:rPr>
        <w:t>从投标截止期至投标人在投标文件中确定的投标有效期期满这段时间内，投标人不得撤回或修改其投标文件。</w:t>
      </w:r>
    </w:p>
    <w:p w14:paraId="0BE736E3">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19.4</w:t>
      </w:r>
      <w:r>
        <w:rPr>
          <w:rFonts w:hint="eastAsia" w:ascii="仿宋" w:hAnsi="仿宋" w:eastAsia="仿宋" w:cs="仿宋"/>
          <w:sz w:val="24"/>
          <w:szCs w:val="24"/>
        </w:rPr>
        <w:t>投标截止期后，投标人所递交的投标文件不予退还。</w:t>
      </w:r>
    </w:p>
    <w:p w14:paraId="4A13C2D4">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88" w:name="_Toc163492847"/>
      <w:bookmarkStart w:id="89" w:name="_Toc155185874"/>
      <w:r>
        <w:rPr>
          <w:rFonts w:hint="eastAsia" w:ascii="仿宋" w:hAnsi="仿宋" w:eastAsia="仿宋" w:cs="仿宋"/>
          <w:sz w:val="24"/>
          <w:szCs w:val="24"/>
        </w:rPr>
        <w:t>实物样品</w:t>
      </w:r>
      <w:bookmarkEnd w:id="88"/>
      <w:bookmarkEnd w:id="89"/>
    </w:p>
    <w:p w14:paraId="38DC767E">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20</w:t>
      </w:r>
      <w:r>
        <w:rPr>
          <w:rFonts w:hint="eastAsia" w:ascii="仿宋" w:hAnsi="仿宋" w:eastAsia="仿宋" w:cs="仿宋"/>
          <w:sz w:val="24"/>
          <w:szCs w:val="24"/>
        </w:rPr>
        <w:t>.1“投标人须知前附表”要求提供样品的，样品的具体要求及评审详见“第三章 采购需求”和“第五章 评标办法及标准”。</w:t>
      </w:r>
    </w:p>
    <w:p w14:paraId="31761CE2">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b/>
          <w:sz w:val="24"/>
          <w:szCs w:val="24"/>
        </w:rPr>
      </w:pPr>
      <w:r>
        <w:rPr>
          <w:rFonts w:hint="eastAsia" w:ascii="仿宋" w:hAnsi="仿宋" w:eastAsia="仿宋" w:cs="仿宋"/>
          <w:sz w:val="24"/>
          <w:szCs w:val="24"/>
          <w:lang w:val="en-US" w:eastAsia="zh-CN"/>
        </w:rPr>
        <w:t>20</w:t>
      </w:r>
      <w:r>
        <w:rPr>
          <w:rFonts w:hint="eastAsia" w:ascii="仿宋" w:hAnsi="仿宋" w:eastAsia="仿宋" w:cs="仿宋"/>
          <w:sz w:val="24"/>
          <w:szCs w:val="24"/>
        </w:rPr>
        <w:t>.2样品退还：未中标的投标人应于中标结果公告发布之日起</w:t>
      </w:r>
      <w:r>
        <w:rPr>
          <w:rFonts w:hint="eastAsia" w:ascii="仿宋" w:hAnsi="仿宋" w:eastAsia="仿宋" w:cs="仿宋"/>
          <w:sz w:val="24"/>
          <w:szCs w:val="24"/>
          <w:u w:val="single"/>
          <w:lang w:val="en-US"/>
        </w:rPr>
        <w:t>/</w:t>
      </w:r>
      <w:r>
        <w:rPr>
          <w:rFonts w:hint="eastAsia" w:ascii="仿宋" w:hAnsi="仿宋" w:eastAsia="仿宋" w:cs="仿宋"/>
          <w:sz w:val="24"/>
          <w:szCs w:val="24"/>
        </w:rPr>
        <w:t>日内自行联系采购人取回投标样品；中标人的样品由采购人进行保管、封存，并作为履约验收的参考（招标文件另有规定的从其规定）。</w:t>
      </w:r>
    </w:p>
    <w:p w14:paraId="177D4BC8">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90" w:name="_Toc163492848"/>
      <w:bookmarkStart w:id="91" w:name="_Toc155185875"/>
      <w:r>
        <w:rPr>
          <w:rFonts w:hint="eastAsia" w:ascii="仿宋" w:hAnsi="仿宋" w:eastAsia="仿宋" w:cs="仿宋"/>
          <w:sz w:val="24"/>
          <w:szCs w:val="24"/>
        </w:rPr>
        <w:t>演示</w:t>
      </w:r>
      <w:bookmarkEnd w:id="90"/>
      <w:bookmarkEnd w:id="91"/>
    </w:p>
    <w:p w14:paraId="546C3C85">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21</w:t>
      </w:r>
      <w:r>
        <w:rPr>
          <w:rFonts w:hint="eastAsia" w:ascii="仿宋" w:hAnsi="仿宋" w:eastAsia="仿宋" w:cs="仿宋"/>
          <w:sz w:val="24"/>
          <w:szCs w:val="24"/>
        </w:rPr>
        <w:t>.1要求投标人进行演示的，演示要求详见“投标人须知前附表”。</w:t>
      </w:r>
    </w:p>
    <w:p w14:paraId="281BEFC1">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21</w:t>
      </w:r>
      <w:r>
        <w:rPr>
          <w:rFonts w:hint="eastAsia" w:ascii="仿宋" w:hAnsi="仿宋" w:eastAsia="仿宋" w:cs="仿宋"/>
          <w:sz w:val="24"/>
          <w:szCs w:val="24"/>
        </w:rPr>
        <w:t>.2演示的评审详见“第三章 采购需求”和“第五章 评标办法及标准”。</w:t>
      </w:r>
    </w:p>
    <w:p w14:paraId="70219C20">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92" w:name="_Toc168416652"/>
      <w:bookmarkStart w:id="93" w:name="_Toc163492849"/>
      <w:bookmarkStart w:id="94" w:name="_Toc140132779"/>
      <w:bookmarkStart w:id="95" w:name="_Toc155185876"/>
      <w:r>
        <w:rPr>
          <w:rFonts w:hint="eastAsia" w:ascii="仿宋" w:hAnsi="仿宋" w:eastAsia="仿宋" w:cs="仿宋"/>
          <w:sz w:val="24"/>
          <w:szCs w:val="24"/>
        </w:rPr>
        <w:t>（五）开标</w:t>
      </w:r>
      <w:bookmarkEnd w:id="92"/>
      <w:bookmarkEnd w:id="93"/>
      <w:bookmarkEnd w:id="94"/>
      <w:bookmarkEnd w:id="95"/>
    </w:p>
    <w:p w14:paraId="6905FFC7">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96" w:name="_Toc140132780"/>
      <w:bookmarkStart w:id="97" w:name="_Toc163492850"/>
      <w:r>
        <w:rPr>
          <w:rFonts w:hint="eastAsia" w:ascii="仿宋" w:hAnsi="仿宋" w:eastAsia="仿宋" w:cs="仿宋"/>
          <w:sz w:val="24"/>
          <w:szCs w:val="24"/>
        </w:rPr>
        <w:t>开标会议准备</w:t>
      </w:r>
      <w:bookmarkEnd w:id="96"/>
      <w:bookmarkEnd w:id="97"/>
    </w:p>
    <w:p w14:paraId="5B8B5E6D">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bCs/>
          <w:sz w:val="24"/>
          <w:szCs w:val="24"/>
        </w:rPr>
      </w:pPr>
      <w:bookmarkStart w:id="98" w:name="_Toc140132781"/>
      <w:r>
        <w:rPr>
          <w:rFonts w:hint="eastAsia" w:ascii="仿宋" w:hAnsi="仿宋" w:eastAsia="仿宋" w:cs="仿宋"/>
          <w:sz w:val="24"/>
          <w:szCs w:val="24"/>
          <w:lang w:val="en-US" w:eastAsia="zh-CN"/>
        </w:rPr>
        <w:t>22</w:t>
      </w:r>
      <w:r>
        <w:rPr>
          <w:rFonts w:hint="eastAsia" w:ascii="仿宋" w:hAnsi="仿宋" w:eastAsia="仿宋" w:cs="仿宋"/>
          <w:sz w:val="24"/>
          <w:szCs w:val="24"/>
        </w:rPr>
        <w:t>.1投标人应按照“投标人须知前附表”中的要求参与开启。</w:t>
      </w:r>
      <w:bookmarkEnd w:id="98"/>
    </w:p>
    <w:p w14:paraId="574253BE">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99" w:name="_Toc140132782"/>
      <w:bookmarkStart w:id="100" w:name="_Toc163492851"/>
      <w:r>
        <w:rPr>
          <w:rFonts w:hint="eastAsia" w:ascii="仿宋" w:hAnsi="仿宋" w:eastAsia="仿宋" w:cs="仿宋"/>
          <w:sz w:val="24"/>
          <w:szCs w:val="24"/>
        </w:rPr>
        <w:t>开标时间和地点</w:t>
      </w:r>
      <w:bookmarkEnd w:id="99"/>
      <w:bookmarkEnd w:id="100"/>
    </w:p>
    <w:p w14:paraId="7FB11C53">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23</w:t>
      </w:r>
      <w:r>
        <w:rPr>
          <w:rFonts w:hint="eastAsia" w:ascii="仿宋" w:hAnsi="仿宋" w:eastAsia="仿宋" w:cs="仿宋"/>
          <w:sz w:val="24"/>
          <w:szCs w:val="24"/>
        </w:rPr>
        <w:t>.1本项目将按前须知前附表规定的日期、时间和地点组织公开开标。开标时需有采购人和投标人代表参加。投标人代表如出席会议，应向采购代理机构提交投标人代表身份证明，出示本人有效身份证明，以证明其出席。投标人代表如不出席会议，则视为对开标程序和内容无异议。</w:t>
      </w:r>
    </w:p>
    <w:p w14:paraId="2B5E46D1">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01" w:name="_Toc140132783"/>
      <w:bookmarkStart w:id="102" w:name="_Toc163492852"/>
      <w:r>
        <w:rPr>
          <w:rFonts w:hint="eastAsia" w:ascii="仿宋" w:hAnsi="仿宋" w:eastAsia="仿宋" w:cs="仿宋"/>
          <w:sz w:val="24"/>
          <w:szCs w:val="24"/>
        </w:rPr>
        <w:t>开标程序</w:t>
      </w:r>
      <w:bookmarkEnd w:id="101"/>
      <w:bookmarkEnd w:id="102"/>
    </w:p>
    <w:p w14:paraId="1AA7A991">
      <w:pPr>
        <w:pageBreakBefore w:val="0"/>
        <w:widowControl/>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24</w:t>
      </w:r>
      <w:r>
        <w:rPr>
          <w:rFonts w:hint="eastAsia" w:ascii="仿宋" w:hAnsi="仿宋" w:eastAsia="仿宋" w:cs="仿宋"/>
          <w:sz w:val="24"/>
          <w:szCs w:val="24"/>
        </w:rPr>
        <w:t>.1投标人不足3家的，不得开标。</w:t>
      </w:r>
    </w:p>
    <w:p w14:paraId="5D84064B">
      <w:pPr>
        <w:pageBreakBefore w:val="0"/>
        <w:widowControl/>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24</w:t>
      </w:r>
      <w:r>
        <w:rPr>
          <w:rFonts w:hint="eastAsia" w:ascii="仿宋" w:hAnsi="仿宋" w:eastAsia="仿宋" w:cs="仿宋"/>
          <w:sz w:val="24"/>
          <w:szCs w:val="24"/>
        </w:rPr>
        <w:t>.2评标委员会成员不得参加开标活动。</w:t>
      </w:r>
    </w:p>
    <w:p w14:paraId="6DA93576">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24</w:t>
      </w:r>
      <w:r>
        <w:rPr>
          <w:rFonts w:hint="eastAsia" w:ascii="仿宋" w:hAnsi="仿宋" w:eastAsia="仿宋" w:cs="仿宋"/>
          <w:sz w:val="24"/>
          <w:szCs w:val="24"/>
        </w:rPr>
        <w:t>.3主持人按下列程序进行开标：</w:t>
      </w:r>
    </w:p>
    <w:p w14:paraId="4CD694F7">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（1）宣布开标会纪律；</w:t>
      </w:r>
    </w:p>
    <w:p w14:paraId="30FD602F">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（2）介绍参加开标会的单位和人员；</w:t>
      </w:r>
    </w:p>
    <w:p w14:paraId="55AC6E16">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bookmarkStart w:id="103" w:name="_Toc163492853"/>
      <w:bookmarkStart w:id="104" w:name="_Toc140132784"/>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介绍本项目招标的主要过程。</w:t>
      </w:r>
    </w:p>
    <w:p w14:paraId="56BB9C32">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hint="eastAsia" w:ascii="仿宋" w:hAnsi="仿宋" w:eastAsia="仿宋" w:cs="仿宋"/>
          <w:sz w:val="24"/>
          <w:szCs w:val="24"/>
        </w:rPr>
        <w:t>检验投标文件密封情况。</w:t>
      </w:r>
    </w:p>
    <w:p w14:paraId="489A76E9">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w:t>
      </w:r>
      <w:r>
        <w:rPr>
          <w:rFonts w:hint="eastAsia" w:ascii="仿宋" w:hAnsi="仿宋" w:eastAsia="仿宋" w:cs="仿宋"/>
          <w:sz w:val="24"/>
          <w:szCs w:val="24"/>
        </w:rPr>
        <w:t>启封投标文件、核验投标人代表身份。</w:t>
      </w:r>
    </w:p>
    <w:p w14:paraId="1A7693C0">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w:t>
      </w:r>
      <w:r>
        <w:rPr>
          <w:rFonts w:hint="eastAsia" w:ascii="仿宋" w:hAnsi="仿宋" w:eastAsia="仿宋" w:cs="仿宋"/>
          <w:sz w:val="24"/>
          <w:szCs w:val="24"/>
        </w:rPr>
        <w:t>唱标。</w:t>
      </w:r>
    </w:p>
    <w:p w14:paraId="201443C2">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7</w:t>
      </w:r>
      <w:r>
        <w:rPr>
          <w:rFonts w:hint="eastAsia" w:ascii="仿宋" w:hAnsi="仿宋" w:eastAsia="仿宋" w:cs="仿宋"/>
          <w:sz w:val="24"/>
          <w:szCs w:val="24"/>
          <w:lang w:eastAsia="zh-CN"/>
        </w:rPr>
        <w:t>）</w:t>
      </w:r>
      <w:r>
        <w:rPr>
          <w:rFonts w:hint="eastAsia" w:ascii="仿宋" w:hAnsi="仿宋" w:eastAsia="仿宋" w:cs="仿宋"/>
          <w:sz w:val="24"/>
          <w:szCs w:val="24"/>
        </w:rPr>
        <w:t>宣布评标安排及其他事项。</w:t>
      </w:r>
    </w:p>
    <w:p w14:paraId="6E060AF5">
      <w:pPr>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8</w:t>
      </w:r>
      <w:r>
        <w:rPr>
          <w:rFonts w:hint="eastAsia" w:ascii="仿宋" w:hAnsi="仿宋" w:eastAsia="仿宋" w:cs="仿宋"/>
          <w:sz w:val="24"/>
          <w:szCs w:val="24"/>
          <w:lang w:eastAsia="zh-CN"/>
        </w:rPr>
        <w:t>）</w:t>
      </w:r>
      <w:r>
        <w:rPr>
          <w:rFonts w:hint="eastAsia" w:ascii="仿宋" w:hAnsi="仿宋" w:eastAsia="仿宋" w:cs="仿宋"/>
          <w:sz w:val="24"/>
          <w:szCs w:val="24"/>
        </w:rPr>
        <w:t>开标会结束。</w:t>
      </w:r>
    </w:p>
    <w:p w14:paraId="029A36CE">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r>
        <w:rPr>
          <w:rFonts w:hint="eastAsia" w:ascii="仿宋" w:hAnsi="仿宋" w:eastAsia="仿宋" w:cs="仿宋"/>
          <w:sz w:val="24"/>
          <w:szCs w:val="24"/>
        </w:rPr>
        <w:t>开标疑义及回避情形</w:t>
      </w:r>
      <w:bookmarkEnd w:id="103"/>
      <w:bookmarkEnd w:id="104"/>
      <w:r>
        <w:rPr>
          <w:rFonts w:hint="eastAsia" w:ascii="仿宋" w:hAnsi="仿宋" w:eastAsia="仿宋" w:cs="仿宋"/>
          <w:sz w:val="24"/>
          <w:szCs w:val="24"/>
        </w:rPr>
        <w:t>。</w:t>
      </w:r>
    </w:p>
    <w:p w14:paraId="22072BE9">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25</w:t>
      </w:r>
      <w:r>
        <w:rPr>
          <w:rFonts w:hint="eastAsia" w:ascii="仿宋" w:hAnsi="仿宋" w:eastAsia="仿宋" w:cs="仿宋"/>
          <w:sz w:val="24"/>
          <w:szCs w:val="24"/>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54D28B5">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25</w:t>
      </w:r>
      <w:r>
        <w:rPr>
          <w:rFonts w:hint="eastAsia" w:ascii="仿宋" w:hAnsi="仿宋" w:eastAsia="仿宋" w:cs="仿宋"/>
          <w:sz w:val="24"/>
          <w:szCs w:val="24"/>
        </w:rPr>
        <w:t>.2投标人未参加开标的，视同认可开标结果。</w:t>
      </w:r>
    </w:p>
    <w:p w14:paraId="2D648699">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105" w:name="_Toc140132785"/>
      <w:bookmarkStart w:id="106" w:name="_Toc155185877"/>
      <w:bookmarkStart w:id="107" w:name="_Toc168416653"/>
      <w:bookmarkStart w:id="108" w:name="_Toc163492854"/>
      <w:r>
        <w:rPr>
          <w:rFonts w:hint="eastAsia" w:ascii="仿宋" w:hAnsi="仿宋" w:eastAsia="仿宋" w:cs="仿宋"/>
          <w:sz w:val="24"/>
          <w:szCs w:val="24"/>
        </w:rPr>
        <w:t>（六）资格审查</w:t>
      </w:r>
      <w:bookmarkEnd w:id="105"/>
      <w:bookmarkEnd w:id="106"/>
      <w:bookmarkEnd w:id="107"/>
      <w:bookmarkEnd w:id="108"/>
    </w:p>
    <w:p w14:paraId="2424CE20">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09" w:name="_Toc163492855"/>
      <w:r>
        <w:rPr>
          <w:rFonts w:hint="eastAsia" w:ascii="仿宋" w:hAnsi="仿宋" w:eastAsia="仿宋" w:cs="仿宋"/>
          <w:sz w:val="24"/>
          <w:szCs w:val="24"/>
        </w:rPr>
        <w:t>资格审查及审查主体</w:t>
      </w:r>
      <w:bookmarkEnd w:id="109"/>
    </w:p>
    <w:p w14:paraId="580B6165">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bookmarkStart w:id="110" w:name="_Toc140132786"/>
      <w:r>
        <w:rPr>
          <w:rFonts w:hint="eastAsia" w:ascii="仿宋" w:hAnsi="仿宋" w:eastAsia="仿宋" w:cs="仿宋"/>
          <w:sz w:val="24"/>
          <w:szCs w:val="24"/>
          <w:lang w:val="en-US" w:eastAsia="zh-CN"/>
        </w:rPr>
        <w:t>26</w:t>
      </w:r>
      <w:r>
        <w:rPr>
          <w:rFonts w:hint="eastAsia" w:ascii="仿宋" w:hAnsi="仿宋" w:eastAsia="仿宋" w:cs="仿宋"/>
          <w:sz w:val="24"/>
          <w:szCs w:val="24"/>
        </w:rPr>
        <w:t>.1开标结束后，根据委托代理协议由资格审查的责任主体依据法律法规和本招标文件的规定，依法对投标人资格进行审查，以确定投标人是否具备投标资格。</w:t>
      </w:r>
      <w:bookmarkEnd w:id="110"/>
    </w:p>
    <w:p w14:paraId="58111238">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bookmarkStart w:id="111" w:name="_Toc140132787"/>
      <w:r>
        <w:rPr>
          <w:rFonts w:hint="eastAsia" w:ascii="仿宋" w:hAnsi="仿宋" w:eastAsia="仿宋" w:cs="仿宋"/>
          <w:sz w:val="24"/>
          <w:szCs w:val="24"/>
          <w:lang w:val="en-US" w:eastAsia="zh-CN"/>
        </w:rPr>
        <w:t>26</w:t>
      </w:r>
      <w:r>
        <w:rPr>
          <w:rFonts w:hint="eastAsia" w:ascii="仿宋" w:hAnsi="仿宋" w:eastAsia="仿宋" w:cs="仿宋"/>
          <w:sz w:val="24"/>
          <w:szCs w:val="24"/>
        </w:rPr>
        <w:t>.2资格审查按第四章“资格审查方法及标准”的规定进行。</w:t>
      </w:r>
      <w:bookmarkEnd w:id="111"/>
    </w:p>
    <w:p w14:paraId="6A3F7188">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bookmarkStart w:id="112" w:name="_Toc140132788"/>
      <w:r>
        <w:rPr>
          <w:rFonts w:hint="eastAsia" w:ascii="仿宋" w:hAnsi="仿宋" w:eastAsia="仿宋" w:cs="仿宋"/>
          <w:sz w:val="24"/>
          <w:szCs w:val="24"/>
          <w:lang w:val="en-US" w:eastAsia="zh-CN"/>
        </w:rPr>
        <w:t>26</w:t>
      </w:r>
      <w:r>
        <w:rPr>
          <w:rFonts w:hint="eastAsia" w:ascii="仿宋" w:hAnsi="仿宋" w:eastAsia="仿宋" w:cs="仿宋"/>
          <w:sz w:val="24"/>
          <w:szCs w:val="24"/>
        </w:rPr>
        <w:t>.3资格审查结束后，应及时对资格性审查结果进行复核，对资格性审查错误进行及时纠正并记录。</w:t>
      </w:r>
      <w:bookmarkEnd w:id="112"/>
    </w:p>
    <w:p w14:paraId="2C569B6A">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113" w:name="_Toc163492856"/>
      <w:bookmarkStart w:id="114" w:name="_Toc140132789"/>
      <w:bookmarkStart w:id="115" w:name="_Toc168416654"/>
      <w:bookmarkStart w:id="116" w:name="_Toc155185878"/>
      <w:r>
        <w:rPr>
          <w:rFonts w:hint="eastAsia" w:ascii="仿宋" w:hAnsi="仿宋" w:eastAsia="仿宋" w:cs="仿宋"/>
          <w:sz w:val="24"/>
          <w:szCs w:val="24"/>
        </w:rPr>
        <w:t>（七）评标</w:t>
      </w:r>
      <w:bookmarkEnd w:id="113"/>
      <w:bookmarkEnd w:id="114"/>
      <w:bookmarkEnd w:id="115"/>
      <w:bookmarkEnd w:id="116"/>
    </w:p>
    <w:p w14:paraId="3854F839">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17" w:name="_Toc163492857"/>
      <w:bookmarkStart w:id="118" w:name="_Toc140132790"/>
      <w:r>
        <w:rPr>
          <w:rFonts w:hint="eastAsia" w:ascii="仿宋" w:hAnsi="仿宋" w:eastAsia="仿宋" w:cs="仿宋"/>
          <w:sz w:val="24"/>
          <w:szCs w:val="24"/>
        </w:rPr>
        <w:t>评标委员会</w:t>
      </w:r>
      <w:bookmarkEnd w:id="117"/>
      <w:bookmarkEnd w:id="118"/>
    </w:p>
    <w:p w14:paraId="59222545">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27</w:t>
      </w:r>
      <w:r>
        <w:rPr>
          <w:rFonts w:hint="eastAsia" w:ascii="仿宋" w:hAnsi="仿宋" w:eastAsia="仿宋" w:cs="仿宋"/>
          <w:sz w:val="24"/>
          <w:szCs w:val="24"/>
        </w:rPr>
        <w:t>.1评标由采购人依法组建的评标委员会负责。评标委员会由采购人代表和评审专家组成。评标委员会成员人数以及技术、经济等方面专家的确定方式见“投标人须知前附表”。</w:t>
      </w:r>
    </w:p>
    <w:p w14:paraId="63FAA072">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27</w:t>
      </w:r>
      <w:r>
        <w:rPr>
          <w:rFonts w:hint="eastAsia" w:ascii="仿宋" w:hAnsi="仿宋" w:eastAsia="仿宋" w:cs="仿宋"/>
          <w:sz w:val="24"/>
          <w:szCs w:val="24"/>
        </w:rPr>
        <w:t>.2评标委员会成员有下列情形之一的，应当回避：</w:t>
      </w:r>
    </w:p>
    <w:p w14:paraId="592CF5DC">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（1）参加采购活动前3年内与投标人存在劳动关系；</w:t>
      </w:r>
    </w:p>
    <w:p w14:paraId="7B55120D">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（2）参加采购活动前3年内担任投标人的董事、监事；</w:t>
      </w:r>
    </w:p>
    <w:p w14:paraId="04197AE1">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（3）参加采购活动前3年内是投标人的控股股东或者实际控制人；</w:t>
      </w:r>
    </w:p>
    <w:p w14:paraId="6FF999CA">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（4）与投标人的法定代表人或者负责人有夫妻、直系血亲、三代以内旁系血亲或者近姻亲关系；</w:t>
      </w:r>
    </w:p>
    <w:p w14:paraId="0E181D76">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（5）与投标人有其他可能影响采购活动公平、公正进行的关系。</w:t>
      </w:r>
    </w:p>
    <w:p w14:paraId="7F8A9201">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19" w:name="_Toc163492858"/>
      <w:bookmarkStart w:id="120" w:name="_Toc140132791"/>
      <w:r>
        <w:rPr>
          <w:rFonts w:hint="eastAsia" w:ascii="仿宋" w:hAnsi="仿宋" w:eastAsia="仿宋" w:cs="仿宋"/>
          <w:sz w:val="24"/>
          <w:szCs w:val="24"/>
        </w:rPr>
        <w:t>评标</w:t>
      </w:r>
      <w:bookmarkEnd w:id="119"/>
      <w:bookmarkEnd w:id="120"/>
    </w:p>
    <w:p w14:paraId="7E48ED98">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28</w:t>
      </w:r>
      <w:r>
        <w:rPr>
          <w:rFonts w:hint="eastAsia" w:ascii="仿宋" w:hAnsi="仿宋" w:eastAsia="仿宋" w:cs="仿宋"/>
          <w:sz w:val="24"/>
          <w:szCs w:val="24"/>
        </w:rPr>
        <w:t>.1评标委员会按照第五章“评标方法及标准”规定对投标文件进行评审。“评标办法”没有规定的方法、评审因素和标准，不作为评标依据。</w:t>
      </w:r>
    </w:p>
    <w:p w14:paraId="7010AAC4">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28</w:t>
      </w:r>
      <w:r>
        <w:rPr>
          <w:rFonts w:hint="eastAsia" w:ascii="仿宋" w:hAnsi="仿宋" w:eastAsia="仿宋" w:cs="仿宋"/>
          <w:sz w:val="24"/>
          <w:szCs w:val="24"/>
        </w:rPr>
        <w:t>.2评标委员会按“投标人须知前附表”规定的中标候选人数量在评标报告中向采购人推荐中标候选人。</w:t>
      </w:r>
    </w:p>
    <w:p w14:paraId="035650DA">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121" w:name="_Toc168416655"/>
      <w:bookmarkStart w:id="122" w:name="_Toc163492859"/>
      <w:bookmarkStart w:id="123" w:name="_Toc155185879"/>
      <w:bookmarkStart w:id="124" w:name="_Toc140132792"/>
      <w:r>
        <w:rPr>
          <w:rFonts w:hint="eastAsia" w:ascii="仿宋" w:hAnsi="仿宋" w:eastAsia="仿宋" w:cs="仿宋"/>
          <w:sz w:val="24"/>
          <w:szCs w:val="24"/>
        </w:rPr>
        <w:t>（八）中标</w:t>
      </w:r>
      <w:bookmarkEnd w:id="121"/>
      <w:bookmarkEnd w:id="122"/>
      <w:bookmarkEnd w:id="123"/>
      <w:bookmarkEnd w:id="124"/>
    </w:p>
    <w:p w14:paraId="6A9AD825">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25" w:name="_Toc163492860"/>
      <w:bookmarkStart w:id="126" w:name="_Toc140132793"/>
      <w:r>
        <w:rPr>
          <w:rFonts w:hint="eastAsia" w:ascii="仿宋" w:hAnsi="仿宋" w:eastAsia="仿宋" w:cs="仿宋"/>
          <w:sz w:val="24"/>
          <w:szCs w:val="24"/>
        </w:rPr>
        <w:t>确定中标人</w:t>
      </w:r>
      <w:bookmarkEnd w:id="125"/>
      <w:bookmarkEnd w:id="126"/>
    </w:p>
    <w:p w14:paraId="02775CC3">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29</w:t>
      </w:r>
      <w:r>
        <w:rPr>
          <w:rFonts w:hint="eastAsia" w:ascii="仿宋" w:hAnsi="仿宋" w:eastAsia="仿宋" w:cs="仿宋"/>
          <w:sz w:val="24"/>
          <w:szCs w:val="24"/>
        </w:rPr>
        <w:t>.1确定中标人详见“投标人须知前附表”。</w:t>
      </w:r>
    </w:p>
    <w:p w14:paraId="19362FBC">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27" w:name="_Toc140132794"/>
      <w:bookmarkStart w:id="128" w:name="_Toc163492861"/>
      <w:r>
        <w:rPr>
          <w:rFonts w:hint="eastAsia" w:ascii="仿宋" w:hAnsi="仿宋" w:eastAsia="仿宋" w:cs="仿宋"/>
          <w:sz w:val="24"/>
          <w:szCs w:val="24"/>
        </w:rPr>
        <w:t>中标结果公告</w:t>
      </w:r>
      <w:bookmarkEnd w:id="127"/>
      <w:bookmarkEnd w:id="128"/>
    </w:p>
    <w:p w14:paraId="461194A2">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30</w:t>
      </w:r>
      <w:r>
        <w:rPr>
          <w:rFonts w:hint="eastAsia" w:ascii="仿宋" w:hAnsi="仿宋" w:eastAsia="仿宋" w:cs="仿宋"/>
          <w:sz w:val="24"/>
          <w:szCs w:val="24"/>
        </w:rPr>
        <w:t>.1采购代理机构应当自中标人确定之日起2个工作日内，发出中标通知书，并在“投标人须知前附表”中规定的媒体上发布中标结果公告，招标文件随中标结果同时公告，中标结果公告期限为1个工作日。</w:t>
      </w:r>
    </w:p>
    <w:p w14:paraId="44D18123">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30</w:t>
      </w:r>
      <w:r>
        <w:rPr>
          <w:rFonts w:hint="eastAsia" w:ascii="仿宋" w:hAnsi="仿宋" w:eastAsia="仿宋" w:cs="仿宋"/>
          <w:sz w:val="24"/>
          <w:szCs w:val="24"/>
        </w:rPr>
        <w:t>.2项目采购采用最低评标价法的，公告中标结果时同时公告因落实政府采购政策等原因进行价格扣除后中标供应商的评审报价；项目采购采用综合评分法的，公告中标结果时同时公告中标供应商的评审总得分。</w:t>
      </w:r>
    </w:p>
    <w:p w14:paraId="6D9683AA">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29" w:name="_Toc163492862"/>
      <w:bookmarkStart w:id="130" w:name="_Toc140132795"/>
      <w:r>
        <w:rPr>
          <w:rFonts w:hint="eastAsia" w:ascii="仿宋" w:hAnsi="仿宋" w:eastAsia="仿宋" w:cs="仿宋"/>
          <w:sz w:val="24"/>
          <w:szCs w:val="24"/>
        </w:rPr>
        <w:t>中标通知</w:t>
      </w:r>
      <w:bookmarkEnd w:id="129"/>
      <w:bookmarkEnd w:id="130"/>
    </w:p>
    <w:p w14:paraId="439F33C9">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31</w:t>
      </w:r>
      <w:r>
        <w:rPr>
          <w:rFonts w:hint="eastAsia" w:ascii="仿宋" w:hAnsi="仿宋" w:eastAsia="仿宋" w:cs="仿宋"/>
          <w:sz w:val="24"/>
          <w:szCs w:val="24"/>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7196E935">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131" w:name="_Toc168416656"/>
      <w:bookmarkStart w:id="132" w:name="_Toc163492863"/>
      <w:r>
        <w:rPr>
          <w:rFonts w:hint="eastAsia" w:ascii="仿宋" w:hAnsi="仿宋" w:eastAsia="仿宋" w:cs="仿宋"/>
          <w:sz w:val="24"/>
          <w:szCs w:val="24"/>
        </w:rPr>
        <w:t>（九）签订</w:t>
      </w:r>
      <w:bookmarkStart w:id="133" w:name="_Toc140132796"/>
      <w:bookmarkStart w:id="134" w:name="_Toc155185880"/>
      <w:r>
        <w:rPr>
          <w:rFonts w:hint="eastAsia" w:ascii="仿宋" w:hAnsi="仿宋" w:eastAsia="仿宋" w:cs="仿宋"/>
          <w:sz w:val="24"/>
          <w:szCs w:val="24"/>
        </w:rPr>
        <w:t>合同</w:t>
      </w:r>
      <w:bookmarkEnd w:id="131"/>
      <w:bookmarkEnd w:id="132"/>
      <w:bookmarkEnd w:id="133"/>
      <w:bookmarkEnd w:id="134"/>
    </w:p>
    <w:p w14:paraId="2465FF6D">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35" w:name="_Toc163492864"/>
      <w:bookmarkStart w:id="136" w:name="_Toc140132797"/>
      <w:r>
        <w:rPr>
          <w:rFonts w:hint="eastAsia" w:ascii="仿宋" w:hAnsi="仿宋" w:eastAsia="仿宋" w:cs="仿宋"/>
          <w:sz w:val="24"/>
          <w:szCs w:val="24"/>
        </w:rPr>
        <w:t>履约保证金</w:t>
      </w:r>
      <w:bookmarkEnd w:id="135"/>
      <w:bookmarkEnd w:id="136"/>
    </w:p>
    <w:p w14:paraId="63B33D62">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32</w:t>
      </w:r>
      <w:r>
        <w:rPr>
          <w:rFonts w:hint="eastAsia" w:ascii="仿宋" w:hAnsi="仿宋" w:eastAsia="仿宋" w:cs="仿宋"/>
          <w:sz w:val="24"/>
          <w:szCs w:val="24"/>
        </w:rPr>
        <w:t>.1在签订合同前，中标人应按“投标人须知前附表”规定的金额、担保形式和采购人认可的履约担保格式向采购人提交履约保证金。</w:t>
      </w:r>
    </w:p>
    <w:p w14:paraId="56461CD1">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32</w:t>
      </w:r>
      <w:r>
        <w:rPr>
          <w:rFonts w:hint="eastAsia" w:ascii="仿宋" w:hAnsi="仿宋" w:eastAsia="仿宋" w:cs="仿宋"/>
          <w:sz w:val="24"/>
          <w:szCs w:val="24"/>
        </w:rPr>
        <w:t>.2中标人不能按本章第</w:t>
      </w:r>
      <w:r>
        <w:rPr>
          <w:rFonts w:hint="eastAsia" w:ascii="仿宋" w:hAnsi="仿宋" w:eastAsia="仿宋" w:cs="仿宋"/>
          <w:sz w:val="24"/>
          <w:szCs w:val="24"/>
          <w:lang w:val="en-US" w:eastAsia="zh-CN"/>
        </w:rPr>
        <w:t>28</w:t>
      </w:r>
      <w:r>
        <w:rPr>
          <w:rFonts w:hint="eastAsia" w:ascii="仿宋" w:hAnsi="仿宋" w:eastAsia="仿宋" w:cs="仿宋"/>
          <w:sz w:val="24"/>
          <w:szCs w:val="24"/>
        </w:rPr>
        <w:t>项要求提交履约担保的，视为放弃中标，给采购人造成损失的，中标人还应当承担民事责任。</w:t>
      </w:r>
    </w:p>
    <w:p w14:paraId="0180237B">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37" w:name="_Toc163492865"/>
      <w:bookmarkStart w:id="138" w:name="_Toc140132798"/>
      <w:r>
        <w:rPr>
          <w:rFonts w:hint="eastAsia" w:ascii="仿宋" w:hAnsi="仿宋" w:eastAsia="仿宋" w:cs="仿宋"/>
          <w:sz w:val="24"/>
          <w:szCs w:val="24"/>
        </w:rPr>
        <w:t>签订合同</w:t>
      </w:r>
      <w:bookmarkEnd w:id="137"/>
      <w:bookmarkEnd w:id="138"/>
    </w:p>
    <w:p w14:paraId="404293FD">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33</w:t>
      </w:r>
      <w:r>
        <w:rPr>
          <w:rFonts w:hint="eastAsia" w:ascii="仿宋" w:hAnsi="仿宋" w:eastAsia="仿宋" w:cs="仿宋"/>
          <w:sz w:val="24"/>
          <w:szCs w:val="24"/>
        </w:rPr>
        <w:t>.1采购人和中标人应当自中标通知书发出之日起30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的，给采购人造成损失的，中标人还应当承担民事责任。</w:t>
      </w:r>
    </w:p>
    <w:p w14:paraId="0A383242">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33</w:t>
      </w:r>
      <w:r>
        <w:rPr>
          <w:rFonts w:hint="eastAsia" w:ascii="仿宋" w:hAnsi="仿宋" w:eastAsia="仿宋" w:cs="仿宋"/>
          <w:sz w:val="24"/>
          <w:szCs w:val="24"/>
        </w:rPr>
        <w:t>.2采购人和中标人不得向对方提出任何不合理的要求，作为签订合同的条件，双方不得私下订立背离合同实质性内容的协议。</w:t>
      </w:r>
    </w:p>
    <w:p w14:paraId="5CADEC57">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33</w:t>
      </w:r>
      <w:r>
        <w:rPr>
          <w:rFonts w:hint="eastAsia" w:ascii="仿宋" w:hAnsi="仿宋" w:eastAsia="仿宋" w:cs="仿宋"/>
          <w:sz w:val="24"/>
          <w:szCs w:val="24"/>
        </w:rPr>
        <w:t>.3采购合同履行中，采购人需追加与合同标的相同的服务的，在不改变合同其他条款的前提下，可以与中标人协商签订补充合同，但所有补充合同的采购金额不得超过原合同采购金额的百分之十。</w:t>
      </w:r>
    </w:p>
    <w:p w14:paraId="4D59DFE2">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139" w:name="_Toc163492866"/>
      <w:bookmarkStart w:id="140" w:name="_Toc168416657"/>
      <w:bookmarkStart w:id="141" w:name="_Toc155185881"/>
      <w:bookmarkStart w:id="142" w:name="_Toc140132799"/>
      <w:r>
        <w:rPr>
          <w:rFonts w:hint="eastAsia" w:ascii="仿宋" w:hAnsi="仿宋" w:eastAsia="仿宋" w:cs="仿宋"/>
          <w:sz w:val="24"/>
          <w:szCs w:val="24"/>
        </w:rPr>
        <w:t>（十）质疑和投诉</w:t>
      </w:r>
      <w:bookmarkEnd w:id="139"/>
      <w:bookmarkEnd w:id="140"/>
      <w:bookmarkEnd w:id="141"/>
      <w:bookmarkEnd w:id="142"/>
    </w:p>
    <w:p w14:paraId="0C2DC0AB">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43" w:name="_Toc140132800"/>
      <w:bookmarkStart w:id="144" w:name="_Toc163492867"/>
      <w:r>
        <w:rPr>
          <w:rFonts w:hint="eastAsia" w:ascii="仿宋" w:hAnsi="仿宋" w:eastAsia="仿宋" w:cs="仿宋"/>
          <w:sz w:val="24"/>
          <w:szCs w:val="24"/>
        </w:rPr>
        <w:t>质疑</w:t>
      </w:r>
      <w:bookmarkEnd w:id="143"/>
      <w:bookmarkEnd w:id="144"/>
    </w:p>
    <w:p w14:paraId="18E37EA6">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34</w:t>
      </w:r>
      <w:r>
        <w:rPr>
          <w:rFonts w:hint="eastAsia" w:ascii="仿宋" w:hAnsi="仿宋" w:eastAsia="仿宋" w:cs="仿宋"/>
          <w:sz w:val="24"/>
          <w:szCs w:val="24"/>
        </w:rPr>
        <w:t>.1投标人认为招标文件、招标过程和中标结果使自己的权益受到损害的，可以在知道或者应知其权益受到损害之日起7个工作日内</w:t>
      </w:r>
      <w:bookmarkStart w:id="145" w:name="_Hlk143534740"/>
      <w:r>
        <w:rPr>
          <w:rFonts w:hint="eastAsia" w:ascii="仿宋" w:hAnsi="仿宋" w:eastAsia="仿宋" w:cs="仿宋"/>
          <w:sz w:val="24"/>
          <w:szCs w:val="24"/>
        </w:rPr>
        <w:t>，</w:t>
      </w:r>
      <w:bookmarkEnd w:id="145"/>
      <w:r>
        <w:rPr>
          <w:rFonts w:hint="eastAsia" w:ascii="仿宋" w:hAnsi="仿宋" w:eastAsia="仿宋" w:cs="仿宋"/>
          <w:sz w:val="24"/>
          <w:szCs w:val="24"/>
        </w:rPr>
        <w:t>以书面形式向采购人或采购代理机构一次性提出针对同一采购程序环节的质疑。提出质疑的投标人应当是参与本项目采购活动的供应商。</w:t>
      </w:r>
    </w:p>
    <w:p w14:paraId="4610510D">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34</w:t>
      </w:r>
      <w:r>
        <w:rPr>
          <w:rFonts w:hint="eastAsia" w:ascii="仿宋" w:hAnsi="仿宋" w:eastAsia="仿宋" w:cs="仿宋"/>
          <w:sz w:val="24"/>
          <w:szCs w:val="24"/>
        </w:rPr>
        <w:t>.2投标人提出质疑应当提交质疑函和必要的证明材料。质疑函应当包括下列内容：</w:t>
      </w:r>
    </w:p>
    <w:p w14:paraId="0E5D42F0">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（1）质疑人的姓名或者名称、地址、邮编、联系人及联系电话；</w:t>
      </w:r>
    </w:p>
    <w:p w14:paraId="56F9AC07">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（2）质疑项目的名称、编号；</w:t>
      </w:r>
    </w:p>
    <w:p w14:paraId="28D8BC3B">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（3）具体、明确的质疑事项和与质疑事项相关的请求；</w:t>
      </w:r>
    </w:p>
    <w:p w14:paraId="434D63EE">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（4）事实依据；</w:t>
      </w:r>
    </w:p>
    <w:p w14:paraId="5619DBAA">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（5）必要的法律依据；</w:t>
      </w:r>
    </w:p>
    <w:p w14:paraId="4328F616">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（6）提出质疑的日期。</w:t>
      </w:r>
    </w:p>
    <w:p w14:paraId="0942A9F3">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34</w:t>
      </w:r>
      <w:r>
        <w:rPr>
          <w:rFonts w:hint="eastAsia" w:ascii="仿宋" w:hAnsi="仿宋" w:eastAsia="仿宋" w:cs="仿宋"/>
          <w:sz w:val="24"/>
          <w:szCs w:val="24"/>
        </w:rPr>
        <w:t>.3质疑人为自然人的，应当由本人签字；质疑人为法人或者其他组织的，应当由法定代表人、主要负责人，或者其授权代表签字或者盖章，并加盖公章。</w:t>
      </w:r>
    </w:p>
    <w:p w14:paraId="2B8A6F39">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34</w:t>
      </w:r>
      <w:r>
        <w:rPr>
          <w:rFonts w:hint="eastAsia" w:ascii="仿宋" w:hAnsi="仿宋" w:eastAsia="仿宋" w:cs="仿宋"/>
          <w:sz w:val="24"/>
          <w:szCs w:val="24"/>
        </w:rPr>
        <w:t>.4通过客户端提出质疑的，</w:t>
      </w:r>
      <w:bookmarkStart w:id="146" w:name="_Hlk143534761"/>
      <w:r>
        <w:rPr>
          <w:rFonts w:hint="eastAsia" w:ascii="仿宋" w:hAnsi="仿宋" w:eastAsia="仿宋" w:cs="仿宋"/>
          <w:sz w:val="24"/>
          <w:szCs w:val="24"/>
        </w:rPr>
        <w:t>质疑人为自然人的，应当加盖本人电子印章；质疑人为法人或者其他组织的，应当加盖单位电子印章</w:t>
      </w:r>
      <w:bookmarkEnd w:id="146"/>
      <w:r>
        <w:rPr>
          <w:rFonts w:hint="eastAsia" w:ascii="仿宋" w:hAnsi="仿宋" w:eastAsia="仿宋" w:cs="仿宋"/>
          <w:sz w:val="24"/>
          <w:szCs w:val="24"/>
        </w:rPr>
        <w:t>。</w:t>
      </w:r>
    </w:p>
    <w:p w14:paraId="20718A51">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34</w:t>
      </w:r>
      <w:r>
        <w:rPr>
          <w:rFonts w:hint="eastAsia" w:ascii="仿宋" w:hAnsi="仿宋" w:eastAsia="仿宋" w:cs="仿宋"/>
          <w:sz w:val="24"/>
          <w:szCs w:val="24"/>
        </w:rPr>
        <w:t>.5质疑函不符合上述要求的，采购人或代理机构应书面告知具体事项，质疑人应当按要求进行修改或补充，并在质疑有效期限内提交。</w:t>
      </w:r>
    </w:p>
    <w:p w14:paraId="036B73F2">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47" w:name="_Toc140132801"/>
      <w:bookmarkStart w:id="148" w:name="_Toc163492868"/>
      <w:r>
        <w:rPr>
          <w:rFonts w:hint="eastAsia" w:ascii="仿宋" w:hAnsi="仿宋" w:eastAsia="仿宋" w:cs="仿宋"/>
          <w:sz w:val="24"/>
          <w:szCs w:val="24"/>
        </w:rPr>
        <w:t>质疑答复</w:t>
      </w:r>
      <w:bookmarkEnd w:id="147"/>
      <w:bookmarkEnd w:id="148"/>
    </w:p>
    <w:p w14:paraId="1B56378D">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35</w:t>
      </w:r>
      <w:r>
        <w:rPr>
          <w:rFonts w:hint="eastAsia" w:ascii="仿宋" w:hAnsi="仿宋" w:eastAsia="仿宋" w:cs="仿宋"/>
          <w:sz w:val="24"/>
          <w:szCs w:val="24"/>
        </w:rPr>
        <w:t>.1采购人或采购代理机构应当在收到投标人的书面质疑后7个工作日内作出答复，并以书面形式通知质疑投标人和其他有关投标人，但答复的内容不得涉及商业秘密。</w:t>
      </w:r>
    </w:p>
    <w:p w14:paraId="22AB701A">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35</w:t>
      </w:r>
      <w:r>
        <w:rPr>
          <w:rFonts w:hint="eastAsia" w:ascii="仿宋" w:hAnsi="仿宋" w:eastAsia="仿宋" w:cs="仿宋"/>
          <w:sz w:val="24"/>
          <w:szCs w:val="24"/>
        </w:rPr>
        <w:t>.2质疑答复应当包括下列内容：</w:t>
      </w:r>
    </w:p>
    <w:p w14:paraId="4FC89EFD">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rPr>
        <w:t>（1）质疑人的姓名或者名称；</w:t>
      </w:r>
    </w:p>
    <w:p w14:paraId="2E41A96F">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rPr>
        <w:t>（2）收到质疑函的日期、质疑项目名称及编号；</w:t>
      </w:r>
    </w:p>
    <w:p w14:paraId="6FA9B179">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rPr>
        <w:t>（3）质疑事项、质疑答复的具体内容、事实依据和法律依据；</w:t>
      </w:r>
    </w:p>
    <w:p w14:paraId="72A21BE9">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rPr>
        <w:t>（4）告知质疑人依法投诉的权利；</w:t>
      </w:r>
    </w:p>
    <w:p w14:paraId="4AC2CFE5">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rPr>
        <w:t>（5）质疑答复人名称；</w:t>
      </w:r>
    </w:p>
    <w:p w14:paraId="1005C6CD">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rPr>
        <w:t>（6）答复质疑的日期。</w:t>
      </w:r>
    </w:p>
    <w:p w14:paraId="10E729B3">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49" w:name="_Toc140132802"/>
      <w:bookmarkStart w:id="150" w:name="_Toc163492869"/>
      <w:r>
        <w:rPr>
          <w:rFonts w:hint="eastAsia" w:ascii="仿宋" w:hAnsi="仿宋" w:eastAsia="仿宋" w:cs="仿宋"/>
          <w:sz w:val="24"/>
          <w:szCs w:val="24"/>
        </w:rPr>
        <w:t>投诉</w:t>
      </w:r>
      <w:bookmarkEnd w:id="149"/>
      <w:bookmarkEnd w:id="150"/>
    </w:p>
    <w:p w14:paraId="4F6E1BA2">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36</w:t>
      </w:r>
      <w:r>
        <w:rPr>
          <w:rFonts w:hint="eastAsia" w:ascii="仿宋" w:hAnsi="仿宋" w:eastAsia="仿宋" w:cs="仿宋"/>
          <w:sz w:val="24"/>
          <w:szCs w:val="24"/>
        </w:rPr>
        <w:t>.1质疑投标人对采购人、采购代理机构的答复不满意或者采购人、采购代理机构未在规定的时间内作出答复的，可以在答复期满后15个工作日内向采购监督管理部门投诉。投标人投诉应当有明确的请求和必要的证明材料，且投诉的事项不得超出已质疑事项的范围。</w:t>
      </w:r>
    </w:p>
    <w:p w14:paraId="11E3B80D">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36</w:t>
      </w:r>
      <w:r>
        <w:rPr>
          <w:rFonts w:hint="eastAsia" w:ascii="仿宋" w:hAnsi="仿宋" w:eastAsia="仿宋" w:cs="仿宋"/>
          <w:sz w:val="24"/>
          <w:szCs w:val="24"/>
        </w:rPr>
        <w:t>.2采购监督管理部门应当在收到投诉后30个工作日内，对投诉事项作出处理决定，并以书面形式通知投诉人和与投诉事项有关的当事人。采购监督管理部门处理投诉事项，需要检验、检测、鉴定、专家评审以及需要投诉人补正材料的，所需时间不计算在投诉处理期限内。</w:t>
      </w:r>
    </w:p>
    <w:p w14:paraId="6EDF1FEA">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151" w:name="_Toc140132803"/>
      <w:bookmarkStart w:id="152" w:name="_Toc168416658"/>
      <w:bookmarkStart w:id="153" w:name="_Toc155185882"/>
      <w:bookmarkStart w:id="154" w:name="_Toc163492870"/>
      <w:r>
        <w:rPr>
          <w:rFonts w:hint="eastAsia" w:ascii="仿宋" w:hAnsi="仿宋" w:eastAsia="仿宋" w:cs="仿宋"/>
          <w:sz w:val="24"/>
          <w:szCs w:val="24"/>
        </w:rPr>
        <w:t>（十一）采购代理服务费</w:t>
      </w:r>
      <w:bookmarkEnd w:id="151"/>
      <w:bookmarkEnd w:id="152"/>
      <w:bookmarkEnd w:id="153"/>
      <w:bookmarkEnd w:id="154"/>
    </w:p>
    <w:p w14:paraId="311DF20A">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55" w:name="_Toc140132804"/>
      <w:bookmarkStart w:id="156" w:name="_Toc163492871"/>
      <w:r>
        <w:rPr>
          <w:rFonts w:hint="eastAsia" w:ascii="仿宋" w:hAnsi="仿宋" w:eastAsia="仿宋" w:cs="仿宋"/>
          <w:sz w:val="24"/>
          <w:szCs w:val="24"/>
        </w:rPr>
        <w:t>收取方式和标准</w:t>
      </w:r>
      <w:bookmarkEnd w:id="155"/>
      <w:bookmarkEnd w:id="156"/>
    </w:p>
    <w:p w14:paraId="6F5418AA">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bCs/>
          <w:sz w:val="24"/>
          <w:szCs w:val="24"/>
          <w:lang w:val="en-US" w:eastAsia="zh-CN"/>
        </w:rPr>
        <w:t>37</w:t>
      </w:r>
      <w:r>
        <w:rPr>
          <w:rFonts w:hint="eastAsia" w:ascii="仿宋" w:hAnsi="仿宋" w:eastAsia="仿宋" w:cs="仿宋"/>
          <w:sz w:val="24"/>
          <w:szCs w:val="24"/>
        </w:rPr>
        <w:t>.1采购代理机构按“投标人须知前附表”规定的方式和标准收取采购代理服务费。</w:t>
      </w:r>
    </w:p>
    <w:p w14:paraId="16F014CB">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157" w:name="_Toc163492872"/>
      <w:bookmarkStart w:id="158" w:name="_Toc155185883"/>
      <w:bookmarkStart w:id="159" w:name="_Toc168416659"/>
      <w:bookmarkStart w:id="160" w:name="_Toc140132805"/>
      <w:r>
        <w:rPr>
          <w:rFonts w:hint="eastAsia" w:ascii="仿宋" w:hAnsi="仿宋" w:eastAsia="仿宋" w:cs="仿宋"/>
          <w:sz w:val="24"/>
          <w:szCs w:val="24"/>
        </w:rPr>
        <w:t>（十二）无效投标和废标</w:t>
      </w:r>
      <w:bookmarkEnd w:id="157"/>
      <w:bookmarkEnd w:id="158"/>
      <w:bookmarkEnd w:id="159"/>
      <w:bookmarkEnd w:id="160"/>
    </w:p>
    <w:p w14:paraId="078552C3">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61" w:name="_Toc140132806"/>
      <w:bookmarkStart w:id="162" w:name="_Toc163492873"/>
      <w:r>
        <w:rPr>
          <w:rFonts w:hint="eastAsia" w:ascii="仿宋" w:hAnsi="仿宋" w:eastAsia="仿宋" w:cs="仿宋"/>
          <w:sz w:val="24"/>
          <w:szCs w:val="24"/>
        </w:rPr>
        <w:t>无效投标</w:t>
      </w:r>
      <w:bookmarkEnd w:id="161"/>
      <w:bookmarkEnd w:id="162"/>
    </w:p>
    <w:p w14:paraId="0180794F">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38</w:t>
      </w:r>
      <w:r>
        <w:rPr>
          <w:rFonts w:hint="eastAsia" w:ascii="仿宋" w:hAnsi="仿宋" w:eastAsia="仿宋" w:cs="仿宋"/>
          <w:sz w:val="24"/>
          <w:szCs w:val="24"/>
        </w:rPr>
        <w:t>.1投标文件存在第四章“资格审查方法及标准”、第五章“评标方法及标准”规定的投标无效情形的，其</w:t>
      </w:r>
      <w:r>
        <w:rPr>
          <w:rFonts w:hint="eastAsia" w:ascii="仿宋" w:hAnsi="仿宋" w:eastAsia="仿宋" w:cs="仿宋"/>
          <w:b/>
          <w:bCs/>
          <w:sz w:val="24"/>
          <w:szCs w:val="24"/>
        </w:rPr>
        <w:t>投标无效</w:t>
      </w:r>
      <w:r>
        <w:rPr>
          <w:rFonts w:hint="eastAsia" w:ascii="仿宋" w:hAnsi="仿宋" w:eastAsia="仿宋" w:cs="仿宋"/>
          <w:sz w:val="24"/>
          <w:szCs w:val="24"/>
        </w:rPr>
        <w:t>。</w:t>
      </w:r>
    </w:p>
    <w:p w14:paraId="5D371314">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63" w:name="_Toc163492874"/>
      <w:bookmarkStart w:id="164" w:name="_Toc140132807"/>
      <w:r>
        <w:rPr>
          <w:rFonts w:hint="eastAsia" w:ascii="仿宋" w:hAnsi="仿宋" w:eastAsia="仿宋" w:cs="仿宋"/>
          <w:sz w:val="24"/>
          <w:szCs w:val="24"/>
        </w:rPr>
        <w:t>废标</w:t>
      </w:r>
      <w:bookmarkEnd w:id="163"/>
      <w:bookmarkEnd w:id="164"/>
    </w:p>
    <w:p w14:paraId="1BB8A2CE">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39</w:t>
      </w:r>
      <w:r>
        <w:rPr>
          <w:rFonts w:hint="eastAsia" w:ascii="仿宋" w:hAnsi="仿宋" w:eastAsia="仿宋" w:cs="仿宋"/>
          <w:sz w:val="24"/>
          <w:szCs w:val="24"/>
        </w:rPr>
        <w:t>.1在招标采购中出现有下列情形之一的，应予以</w:t>
      </w:r>
      <w:r>
        <w:rPr>
          <w:rFonts w:hint="eastAsia" w:ascii="仿宋" w:hAnsi="仿宋" w:eastAsia="仿宋" w:cs="仿宋"/>
          <w:b/>
          <w:bCs/>
          <w:sz w:val="24"/>
          <w:szCs w:val="24"/>
        </w:rPr>
        <w:t>废标</w:t>
      </w:r>
      <w:r>
        <w:rPr>
          <w:rFonts w:hint="eastAsia" w:ascii="仿宋" w:hAnsi="仿宋" w:eastAsia="仿宋" w:cs="仿宋"/>
          <w:sz w:val="24"/>
          <w:szCs w:val="24"/>
        </w:rPr>
        <w:t>：</w:t>
      </w:r>
    </w:p>
    <w:p w14:paraId="23221D64">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（1）符合专业条件的投标人或者对招标文件作实质响应的投标人不足三家的；</w:t>
      </w:r>
    </w:p>
    <w:p w14:paraId="1338801F">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（2）出现影响采购公正的违法、违规行为的；</w:t>
      </w:r>
    </w:p>
    <w:p w14:paraId="15478077">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（3）投标人的报价均超过了采购预算，采购人不能支付的；</w:t>
      </w:r>
    </w:p>
    <w:p w14:paraId="64CA6023">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（4）因重大变故，采购任务取消的。</w:t>
      </w:r>
    </w:p>
    <w:p w14:paraId="2EFE300A">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165" w:name="_Toc140132766"/>
      <w:bookmarkStart w:id="166" w:name="_Toc163492875"/>
      <w:bookmarkStart w:id="167" w:name="_Toc168416660"/>
      <w:bookmarkStart w:id="168" w:name="_Toc155185884"/>
      <w:bookmarkStart w:id="169" w:name="_Toc140132808"/>
      <w:r>
        <w:rPr>
          <w:rFonts w:hint="eastAsia" w:ascii="仿宋" w:hAnsi="仿宋" w:eastAsia="仿宋" w:cs="仿宋"/>
          <w:sz w:val="24"/>
          <w:szCs w:val="24"/>
        </w:rPr>
        <w:t>（十三）落实政府采购政策</w:t>
      </w:r>
      <w:bookmarkEnd w:id="165"/>
      <w:bookmarkEnd w:id="166"/>
      <w:bookmarkEnd w:id="167"/>
    </w:p>
    <w:p w14:paraId="1AE8FAEA">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70" w:name="_Toc163492876"/>
      <w:r>
        <w:rPr>
          <w:rFonts w:hint="eastAsia" w:ascii="仿宋" w:hAnsi="仿宋" w:eastAsia="仿宋" w:cs="仿宋"/>
          <w:sz w:val="24"/>
          <w:szCs w:val="24"/>
        </w:rPr>
        <w:t>支持国产和进口产品审批</w:t>
      </w:r>
      <w:bookmarkEnd w:id="170"/>
    </w:p>
    <w:p w14:paraId="07DF279C">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val="en-US" w:eastAsia="zh-CN"/>
        </w:rPr>
        <w:t>40</w:t>
      </w:r>
      <w:r>
        <w:rPr>
          <w:rFonts w:hint="eastAsia" w:ascii="仿宋" w:hAnsi="仿宋" w:eastAsia="仿宋" w:cs="仿宋"/>
          <w:snapToGrid w:val="0"/>
          <w:sz w:val="24"/>
          <w:szCs w:val="24"/>
        </w:rPr>
        <w:t>.1除“投标人须知前附表”另有规定外，政府采购应当采购本国产品，确需采购进口产品的，采购人应当按照《关于政府采购进口产品管理有关问题的通知》（财办库〔2008〕248号）规定执行（进口产品审批制，科研院所监管部门另有规定的从其规定）。项目若涉及采购进口产品的，具体要求详见“第三章 采购需求”。</w:t>
      </w:r>
    </w:p>
    <w:p w14:paraId="081A57C2">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71" w:name="_Toc163492877"/>
      <w:r>
        <w:rPr>
          <w:rFonts w:hint="eastAsia" w:ascii="仿宋" w:hAnsi="仿宋" w:eastAsia="仿宋" w:cs="仿宋"/>
          <w:sz w:val="24"/>
          <w:szCs w:val="24"/>
        </w:rPr>
        <w:t>中小企业、监狱企业及残疾人福利性单位</w:t>
      </w:r>
      <w:bookmarkEnd w:id="171"/>
    </w:p>
    <w:p w14:paraId="3198F4E6">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val="en-US" w:eastAsia="zh-CN"/>
        </w:rPr>
        <w:t>41</w:t>
      </w:r>
      <w:r>
        <w:rPr>
          <w:rFonts w:hint="eastAsia" w:ascii="仿宋" w:hAnsi="仿宋" w:eastAsia="仿宋" w:cs="仿宋"/>
          <w:snapToGrid w:val="0"/>
          <w:sz w:val="24"/>
          <w:szCs w:val="24"/>
        </w:rPr>
        <w:t>.1为促进中小企业发展，依据《关于印发&lt;政府采购促进中小企业发展管理办法&gt;的通知》（财库〔2020〕46号）、《财政部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司法部关于政府采购支持监狱企业发展有关问题的通知》（财库〔2014〕68号）、《关于促进残疾人就业政府采购政策的通知》（财库〔2017〕141号）、《湖北省财政厅 湖北省公共资源交易监督管理局关于落实稳住经济一揽子政策进一步加大政府采购支持中小企业力度的通知》（鄂财采发〔2022〕5号）的规定，本项目投标人如符合上述文件规定的，需提供《中小企业声明函》、监狱企业证明文件、《残疾人福利性单位声明函》，评审时，评标委员会将依据“投标人须知前附表”规定的报价扣除比例，对投标人报价进行价格扣除，用扣除后的价格参与评审。</w:t>
      </w:r>
    </w:p>
    <w:p w14:paraId="1DBD5D0C">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val="en-US" w:eastAsia="zh-CN"/>
        </w:rPr>
        <w:t>41</w:t>
      </w:r>
      <w:r>
        <w:rPr>
          <w:rFonts w:hint="eastAsia" w:ascii="仿宋" w:hAnsi="仿宋" w:eastAsia="仿宋" w:cs="仿宋"/>
          <w:snapToGrid w:val="0"/>
          <w:sz w:val="24"/>
          <w:szCs w:val="24"/>
        </w:rPr>
        <w:t>.2对中小企业在资金支付期限方面的优惠措施：按《湖北省财政厅关于持续优化政府采购营商环境的通知》（鄂财采发〔2024〕3号）执行。</w:t>
      </w:r>
    </w:p>
    <w:p w14:paraId="1207A564">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72" w:name="_Toc163492878"/>
      <w:r>
        <w:rPr>
          <w:rFonts w:hint="eastAsia" w:ascii="仿宋" w:hAnsi="仿宋" w:eastAsia="仿宋" w:cs="仿宋"/>
          <w:sz w:val="24"/>
          <w:szCs w:val="24"/>
        </w:rPr>
        <w:t>政府采购节能产品、环境标志产品</w:t>
      </w:r>
      <w:bookmarkEnd w:id="172"/>
    </w:p>
    <w:p w14:paraId="1B5C3489">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val="en-US" w:eastAsia="zh-CN"/>
        </w:rPr>
        <w:t>42</w:t>
      </w:r>
      <w:r>
        <w:rPr>
          <w:rFonts w:hint="eastAsia" w:ascii="仿宋" w:hAnsi="仿宋" w:eastAsia="仿宋" w:cs="仿宋"/>
          <w:snapToGrid w:val="0"/>
          <w:sz w:val="24"/>
          <w:szCs w:val="24"/>
        </w:rPr>
        <w:t>.1根据《财政部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的规定，投标人所投产品如属于节能产品政府采购品目清单、环境标志产品政府采购品目清单范围的，投标人须提供国家确定的认证机构出具的、处于有效期内的节能产品认证证书，认证证书的产品型号与所投产品不一致的，视为未提供。属于政府强制采购产品的，已作为投标时强制性要求不再给予价格扣除，未提供认证证书的视为</w:t>
      </w:r>
      <w:r>
        <w:rPr>
          <w:rFonts w:hint="eastAsia" w:ascii="仿宋" w:hAnsi="仿宋" w:eastAsia="仿宋" w:cs="仿宋"/>
          <w:b/>
          <w:bCs/>
          <w:snapToGrid w:val="0"/>
          <w:sz w:val="24"/>
          <w:szCs w:val="24"/>
        </w:rPr>
        <w:t>无效响应</w:t>
      </w:r>
      <w:r>
        <w:rPr>
          <w:rFonts w:hint="eastAsia" w:ascii="仿宋" w:hAnsi="仿宋" w:eastAsia="仿宋" w:cs="仿宋"/>
          <w:snapToGrid w:val="0"/>
          <w:sz w:val="24"/>
          <w:szCs w:val="24"/>
        </w:rPr>
        <w:t>。属于优先采购范围的，按照“投标人须知前附表”中相关规定，对该项产品的价格给予一定比例的扣除，具体扣除比例详见“投标人须知前附表”。</w:t>
      </w:r>
    </w:p>
    <w:p w14:paraId="181E56E0">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173" w:name="_Toc168416661"/>
      <w:bookmarkStart w:id="174" w:name="_Toc163492879"/>
      <w:r>
        <w:rPr>
          <w:rFonts w:hint="eastAsia" w:ascii="仿宋" w:hAnsi="仿宋" w:eastAsia="仿宋" w:cs="仿宋"/>
          <w:sz w:val="24"/>
          <w:szCs w:val="24"/>
        </w:rPr>
        <w:t>（十四）政府采购合同融资政策</w:t>
      </w:r>
      <w:bookmarkEnd w:id="168"/>
      <w:bookmarkEnd w:id="169"/>
      <w:bookmarkEnd w:id="173"/>
      <w:bookmarkEnd w:id="174"/>
    </w:p>
    <w:p w14:paraId="4A8B4C99">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75" w:name="_Toc163492880"/>
      <w:r>
        <w:rPr>
          <w:rFonts w:hint="eastAsia" w:ascii="仿宋" w:hAnsi="仿宋" w:eastAsia="仿宋" w:cs="仿宋"/>
          <w:sz w:val="24"/>
          <w:szCs w:val="24"/>
        </w:rPr>
        <w:t>政府采购合同融资政策</w:t>
      </w:r>
      <w:bookmarkEnd w:id="175"/>
    </w:p>
    <w:p w14:paraId="0E39D976">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43</w:t>
      </w:r>
      <w:r>
        <w:rPr>
          <w:rFonts w:hint="eastAsia" w:ascii="仿宋" w:hAnsi="仿宋" w:eastAsia="仿宋" w:cs="仿宋"/>
          <w:sz w:val="24"/>
          <w:szCs w:val="24"/>
        </w:rPr>
        <w:t>.1政府采购合同融资政策：本项目为非政府采购项目，不适用。</w:t>
      </w:r>
    </w:p>
    <w:p w14:paraId="099246E9">
      <w:pPr>
        <w:pStyle w:val="4"/>
        <w:keepNext/>
        <w:keepLines/>
        <w:pageBreakBefore w:val="0"/>
        <w:widowControl w:val="0"/>
        <w:kinsoku/>
        <w:wordWrap/>
        <w:overflowPunct/>
        <w:topLinePunct w:val="0"/>
        <w:autoSpaceDE/>
        <w:autoSpaceDN/>
        <w:bidi w:val="0"/>
        <w:adjustRightInd/>
        <w:snapToGrid/>
        <w:spacing w:before="0" w:after="0"/>
        <w:ind w:firstLine="482" w:firstLineChars="200"/>
        <w:jc w:val="both"/>
        <w:textAlignment w:val="auto"/>
        <w:rPr>
          <w:rFonts w:hint="eastAsia" w:ascii="仿宋" w:hAnsi="仿宋" w:eastAsia="仿宋" w:cs="仿宋"/>
          <w:sz w:val="24"/>
          <w:szCs w:val="24"/>
        </w:rPr>
      </w:pPr>
      <w:bookmarkStart w:id="176" w:name="_Toc163492881"/>
      <w:bookmarkStart w:id="177" w:name="_Toc168416662"/>
      <w:r>
        <w:rPr>
          <w:rFonts w:hint="eastAsia" w:ascii="仿宋" w:hAnsi="仿宋" w:eastAsia="仿宋" w:cs="仿宋"/>
          <w:sz w:val="24"/>
          <w:szCs w:val="24"/>
        </w:rPr>
        <w:t>（十五）其他</w:t>
      </w:r>
      <w:bookmarkEnd w:id="176"/>
      <w:bookmarkEnd w:id="177"/>
    </w:p>
    <w:p w14:paraId="3D7D5217">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78" w:name="_Toc163492882"/>
      <w:r>
        <w:rPr>
          <w:rFonts w:hint="eastAsia" w:ascii="仿宋" w:hAnsi="仿宋" w:eastAsia="仿宋" w:cs="仿宋"/>
          <w:sz w:val="24"/>
          <w:szCs w:val="24"/>
        </w:rPr>
        <w:t>需要补充的其他内容</w:t>
      </w:r>
      <w:bookmarkEnd w:id="178"/>
    </w:p>
    <w:p w14:paraId="08B55722">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44</w:t>
      </w:r>
      <w:r>
        <w:rPr>
          <w:rFonts w:hint="eastAsia" w:ascii="仿宋" w:hAnsi="仿宋" w:eastAsia="仿宋" w:cs="仿宋"/>
          <w:sz w:val="24"/>
          <w:szCs w:val="24"/>
        </w:rPr>
        <w:t>.1需要补充的其他内容：见投标人须知前附表。</w:t>
      </w:r>
    </w:p>
    <w:p w14:paraId="3311E529">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79" w:name="_Toc155185886"/>
      <w:bookmarkStart w:id="180" w:name="_Toc163492883"/>
      <w:bookmarkStart w:id="181" w:name="_Toc140132810"/>
      <w:r>
        <w:rPr>
          <w:rFonts w:hint="eastAsia" w:ascii="仿宋" w:hAnsi="仿宋" w:eastAsia="仿宋" w:cs="仿宋"/>
          <w:sz w:val="24"/>
          <w:szCs w:val="24"/>
        </w:rPr>
        <w:t>适用法律</w:t>
      </w:r>
      <w:bookmarkEnd w:id="179"/>
      <w:bookmarkEnd w:id="180"/>
      <w:bookmarkEnd w:id="181"/>
    </w:p>
    <w:p w14:paraId="7BC7619C">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snapToGrid w:val="0"/>
          <w:sz w:val="24"/>
          <w:szCs w:val="24"/>
        </w:rPr>
      </w:pPr>
      <w:r>
        <w:rPr>
          <w:rFonts w:hint="eastAsia" w:ascii="仿宋" w:hAnsi="仿宋" w:eastAsia="仿宋" w:cs="仿宋"/>
          <w:snapToGrid w:val="0"/>
          <w:sz w:val="24"/>
          <w:szCs w:val="24"/>
          <w:lang w:val="en-US" w:eastAsia="zh-CN"/>
        </w:rPr>
        <w:t>45</w:t>
      </w:r>
      <w:r>
        <w:rPr>
          <w:rFonts w:hint="eastAsia" w:ascii="仿宋" w:hAnsi="仿宋" w:eastAsia="仿宋" w:cs="仿宋"/>
          <w:snapToGrid w:val="0"/>
          <w:sz w:val="24"/>
          <w:szCs w:val="24"/>
        </w:rPr>
        <w:t>.1采购人、采购代理机构及投标人的一切采购活动均</w:t>
      </w:r>
      <w:r>
        <w:rPr>
          <w:rFonts w:hint="eastAsia" w:ascii="仿宋" w:hAnsi="仿宋" w:eastAsia="仿宋" w:cs="仿宋"/>
          <w:snapToGrid w:val="0"/>
          <w:sz w:val="24"/>
          <w:szCs w:val="24"/>
          <w:lang w:val="en-US" w:eastAsia="zh-CN"/>
        </w:rPr>
        <w:t>参照</w:t>
      </w:r>
      <w:r>
        <w:rPr>
          <w:rFonts w:hint="eastAsia" w:ascii="仿宋" w:hAnsi="仿宋" w:eastAsia="仿宋" w:cs="仿宋"/>
          <w:snapToGrid w:val="0"/>
          <w:sz w:val="24"/>
          <w:szCs w:val="24"/>
        </w:rPr>
        <w:t>《中华人民共和国政府采购法》、《中华人民共和国政府采购法实施条例》、《政府采购货物和服务招标投标管理办法》（财政部令第87号）及相关法律法规。</w:t>
      </w:r>
    </w:p>
    <w:p w14:paraId="277A0F03">
      <w:pPr>
        <w:pStyle w:val="314"/>
        <w:pageBreakBefore w:val="0"/>
        <w:kinsoku/>
        <w:overflowPunct/>
        <w:topLinePunct w:val="0"/>
        <w:autoSpaceDE/>
        <w:autoSpaceDN/>
        <w:bidi w:val="0"/>
        <w:snapToGrid/>
        <w:spacing w:line="360" w:lineRule="auto"/>
        <w:ind w:left="0" w:firstLine="480" w:firstLineChars="200"/>
        <w:textAlignment w:val="auto"/>
        <w:rPr>
          <w:rFonts w:hint="eastAsia" w:ascii="仿宋" w:hAnsi="仿宋" w:eastAsia="仿宋" w:cs="仿宋"/>
          <w:color w:val="FF0000"/>
          <w:sz w:val="24"/>
          <w:szCs w:val="24"/>
        </w:rPr>
      </w:pPr>
      <w:r>
        <w:rPr>
          <w:rFonts w:hint="eastAsia" w:ascii="仿宋" w:hAnsi="仿宋" w:eastAsia="仿宋" w:cs="仿宋"/>
          <w:snapToGrid w:val="0"/>
          <w:sz w:val="24"/>
          <w:szCs w:val="24"/>
          <w:lang w:val="en-US" w:eastAsia="zh-CN"/>
        </w:rPr>
        <w:t>45</w:t>
      </w:r>
      <w:r>
        <w:rPr>
          <w:rFonts w:hint="eastAsia" w:ascii="仿宋" w:hAnsi="仿宋" w:eastAsia="仿宋" w:cs="仿宋"/>
          <w:snapToGrid w:val="0"/>
          <w:sz w:val="24"/>
          <w:szCs w:val="24"/>
        </w:rPr>
        <w:t>.2政府采购合同的履行、违约责任和解决争议的方法等适用《中华人民共和国民法典》。</w:t>
      </w:r>
    </w:p>
    <w:p w14:paraId="3740307A">
      <w:pPr>
        <w:pStyle w:val="5"/>
        <w:pageBreakBefore w:val="0"/>
        <w:numPr>
          <w:ilvl w:val="0"/>
          <w:numId w:val="5"/>
        </w:numPr>
        <w:kinsoku/>
        <w:overflowPunct/>
        <w:topLinePunct w:val="0"/>
        <w:autoSpaceDE/>
        <w:autoSpaceDN/>
        <w:bidi w:val="0"/>
        <w:snapToGrid/>
        <w:spacing w:before="0" w:after="0" w:line="360" w:lineRule="auto"/>
        <w:ind w:left="0" w:firstLine="482" w:firstLineChars="200"/>
        <w:textAlignment w:val="auto"/>
        <w:rPr>
          <w:rFonts w:hint="eastAsia" w:ascii="仿宋" w:hAnsi="仿宋" w:eastAsia="仿宋" w:cs="仿宋"/>
          <w:sz w:val="24"/>
          <w:szCs w:val="24"/>
        </w:rPr>
      </w:pPr>
      <w:bookmarkStart w:id="182" w:name="_Toc155185887"/>
      <w:bookmarkStart w:id="183" w:name="_Toc163492884"/>
      <w:r>
        <w:rPr>
          <w:rFonts w:hint="eastAsia" w:ascii="仿宋" w:hAnsi="仿宋" w:eastAsia="仿宋" w:cs="仿宋"/>
          <w:sz w:val="24"/>
          <w:szCs w:val="24"/>
        </w:rPr>
        <w:t>解释权</w:t>
      </w:r>
      <w:bookmarkEnd w:id="182"/>
      <w:bookmarkEnd w:id="183"/>
    </w:p>
    <w:p w14:paraId="7CA8CB9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napToGrid w:val="0"/>
          <w:sz w:val="24"/>
          <w:szCs w:val="24"/>
          <w:lang w:val="en-US" w:eastAsia="zh-CN"/>
        </w:rPr>
        <w:t>46</w:t>
      </w:r>
      <w:r>
        <w:rPr>
          <w:rFonts w:hint="eastAsia" w:ascii="仿宋" w:hAnsi="仿宋" w:eastAsia="仿宋" w:cs="仿宋"/>
          <w:snapToGrid w:val="0"/>
          <w:sz w:val="24"/>
          <w:szCs w:val="24"/>
        </w:rPr>
        <w:t>.1本招标文件最终解释权归采购人或采购代理机构所有。</w:t>
      </w:r>
    </w:p>
    <w:p w14:paraId="5CE544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_GB2312"/>
          <w:sz w:val="24"/>
          <w:lang w:val="en-US" w:eastAsia="zh-CN"/>
        </w:rPr>
      </w:pPr>
    </w:p>
    <w:p w14:paraId="04B248C3">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textAlignment w:val="auto"/>
        <w:rPr>
          <w:rFonts w:hint="eastAsia" w:ascii="仿宋" w:hAnsi="仿宋" w:eastAsia="仿宋" w:cs="仿宋_GB2312"/>
          <w:sz w:val="24"/>
          <w:lang w:val="en-US" w:eastAsia="zh-CN"/>
        </w:rPr>
        <w:sectPr>
          <w:footerReference r:id="rId14" w:type="default"/>
          <w:pgSz w:w="11907" w:h="16840"/>
          <w:pgMar w:top="1134" w:right="1247" w:bottom="1020" w:left="1247" w:header="851" w:footer="992" w:gutter="0"/>
          <w:cols w:space="0" w:num="1"/>
          <w:rtlGutter w:val="0"/>
          <w:docGrid w:type="lines" w:linePitch="312" w:charSpace="0"/>
        </w:sectPr>
      </w:pPr>
    </w:p>
    <w:p w14:paraId="4EC5B21A">
      <w:pPr>
        <w:pStyle w:val="2"/>
        <w:keepNext w:val="0"/>
        <w:keepLines w:val="0"/>
        <w:pageBreakBefore w:val="0"/>
        <w:widowControl w:val="0"/>
        <w:numPr>
          <w:ilvl w:val="0"/>
          <w:numId w:val="4"/>
        </w:numPr>
        <w:kinsoku/>
        <w:wordWrap/>
        <w:overflowPunct/>
        <w:topLinePunct w:val="0"/>
        <w:autoSpaceDE/>
        <w:autoSpaceDN/>
        <w:bidi w:val="0"/>
        <w:adjustRightInd/>
        <w:snapToGrid/>
        <w:spacing w:before="120" w:after="120" w:line="300" w:lineRule="auto"/>
        <w:textAlignment w:val="auto"/>
        <w:rPr>
          <w:rFonts w:hint="eastAsia" w:ascii="黑体" w:hAnsi="黑体" w:eastAsia="黑体" w:cs="黑体"/>
          <w:b w:val="0"/>
          <w:color w:val="000000"/>
          <w:sz w:val="32"/>
          <w:szCs w:val="32"/>
          <w:shd w:val="clear" w:color="auto" w:fill="FFFFFF"/>
        </w:rPr>
      </w:pPr>
      <w:bookmarkStart w:id="184" w:name="_Toc22255"/>
      <w:bookmarkStart w:id="185" w:name="_Toc249080533"/>
      <w:bookmarkStart w:id="186" w:name="_Toc11924"/>
      <w:r>
        <w:rPr>
          <w:rFonts w:hint="eastAsia" w:ascii="黑体" w:hAnsi="黑体" w:eastAsia="黑体" w:cs="黑体"/>
          <w:color w:val="000000"/>
          <w:sz w:val="32"/>
          <w:szCs w:val="32"/>
        </w:rPr>
        <w:t>采购</w:t>
      </w:r>
      <w:bookmarkEnd w:id="184"/>
      <w:bookmarkEnd w:id="185"/>
      <w:bookmarkStart w:id="187" w:name="_Toc288550945"/>
      <w:bookmarkStart w:id="188" w:name="_Toc248807683"/>
      <w:bookmarkStart w:id="189" w:name="_Toc144894204"/>
      <w:bookmarkStart w:id="190" w:name="_Toc248807490"/>
      <w:bookmarkStart w:id="191" w:name="_Toc235006666"/>
      <w:r>
        <w:rPr>
          <w:rFonts w:hint="eastAsia" w:ascii="黑体" w:hAnsi="黑体" w:eastAsia="黑体" w:cs="黑体"/>
          <w:color w:val="000000"/>
          <w:sz w:val="32"/>
          <w:szCs w:val="32"/>
          <w:lang w:val="en-US" w:eastAsia="zh-CN"/>
        </w:rPr>
        <w:t>需求</w:t>
      </w:r>
      <w:bookmarkEnd w:id="186"/>
    </w:p>
    <w:p w14:paraId="51C28D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评审点图例说明：</w:t>
      </w:r>
      <w:r>
        <w:rPr>
          <w:rFonts w:hint="eastAsia" w:ascii="仿宋" w:hAnsi="仿宋" w:eastAsia="仿宋" w:cs="仿宋"/>
          <w:b/>
          <w:bCs/>
          <w:color w:val="auto"/>
          <w:sz w:val="24"/>
          <w:lang w:val="en-US" w:eastAsia="zh-CN"/>
        </w:rPr>
        <w:t>采购需求中注了</w:t>
      </w:r>
      <w:r>
        <w:rPr>
          <w:rFonts w:hint="eastAsia" w:ascii="仿宋" w:hAnsi="仿宋" w:eastAsia="仿宋" w:cs="仿宋"/>
          <w:b/>
          <w:bCs/>
          <w:color w:val="auto"/>
          <w:sz w:val="24"/>
        </w:rPr>
        <w:t>“</w:t>
      </w:r>
      <w:r>
        <w:rPr>
          <w:rFonts w:hint="eastAsia" w:ascii="仿宋" w:hAnsi="仿宋" w:eastAsia="仿宋" w:cs="仿宋"/>
          <w:b/>
          <w:bCs/>
          <w:color w:val="auto"/>
          <w:sz w:val="24"/>
          <w:lang w:val="en-US" w:eastAsia="zh-CN"/>
        </w:rPr>
        <w:t>*</w:t>
      </w:r>
      <w:r>
        <w:rPr>
          <w:rFonts w:hint="eastAsia" w:ascii="仿宋" w:hAnsi="仿宋" w:eastAsia="仿宋" w:cs="仿宋"/>
          <w:b/>
          <w:bCs/>
          <w:color w:val="auto"/>
          <w:sz w:val="24"/>
        </w:rPr>
        <w:t>”的内容为实质性要求，必须满足或优于该要求，否则按照无效投标处理。</w:t>
      </w:r>
    </w:p>
    <w:p w14:paraId="170509F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仿宋" w:hAnsi="仿宋" w:eastAsia="仿宋" w:cs="仿宋"/>
          <w:b/>
          <w:bCs/>
          <w:color w:val="auto"/>
          <w:sz w:val="24"/>
        </w:rPr>
      </w:pPr>
      <w:bookmarkStart w:id="192" w:name="_Toc20048"/>
      <w:bookmarkStart w:id="193" w:name="_Toc29605"/>
      <w:bookmarkStart w:id="194" w:name="_Toc19502"/>
      <w:r>
        <w:rPr>
          <w:rFonts w:hint="eastAsia" w:ascii="仿宋" w:hAnsi="仿宋" w:eastAsia="仿宋" w:cs="仿宋"/>
          <w:b/>
          <w:bCs/>
          <w:color w:val="auto"/>
          <w:sz w:val="24"/>
        </w:rPr>
        <w:t>一、项目概况</w:t>
      </w:r>
      <w:bookmarkEnd w:id="192"/>
      <w:bookmarkEnd w:id="193"/>
    </w:p>
    <w:p w14:paraId="6A5666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仿宋" w:hAnsi="仿宋" w:eastAsia="仿宋" w:cs="仿宋"/>
          <w:b w:val="0"/>
          <w:bCs w:val="0"/>
          <w:color w:val="auto"/>
          <w:sz w:val="24"/>
          <w:lang w:val="en-US" w:eastAsia="zh-CN"/>
        </w:rPr>
      </w:pPr>
      <w:bookmarkStart w:id="195" w:name="_Toc27929"/>
      <w:r>
        <w:rPr>
          <w:rFonts w:hint="eastAsia" w:ascii="仿宋" w:hAnsi="仿宋" w:eastAsia="仿宋" w:cs="仿宋"/>
          <w:b w:val="0"/>
          <w:bCs w:val="0"/>
          <w:color w:val="auto"/>
          <w:sz w:val="24"/>
          <w:lang w:val="en-US" w:eastAsia="zh-CN"/>
        </w:rPr>
        <w:t>1.根据《湖北省总工会关于印发湖北省基层工会经费收支管理实施细则的通知》</w:t>
      </w:r>
      <w:r>
        <w:rPr>
          <w:rFonts w:hint="eastAsia" w:ascii="仿宋" w:hAnsi="仿宋" w:eastAsia="仿宋" w:cs="仿宋"/>
          <w:b w:val="0"/>
          <w:bCs w:val="0"/>
          <w:color w:val="auto"/>
          <w:sz w:val="24"/>
          <w:lang w:val="zh-CN" w:eastAsia="zh-CN"/>
        </w:rPr>
        <w:t>（鄂工发〔2024〕2号）要求，</w:t>
      </w:r>
      <w:r>
        <w:rPr>
          <w:rFonts w:hint="eastAsia" w:ascii="仿宋" w:hAnsi="仿宋" w:eastAsia="仿宋" w:cs="仿宋"/>
          <w:b w:val="0"/>
          <w:bCs w:val="0"/>
          <w:color w:val="auto"/>
          <w:sz w:val="24"/>
          <w:lang w:val="en-US" w:eastAsia="zh-CN"/>
        </w:rPr>
        <w:t>采购</w:t>
      </w:r>
      <w:r>
        <w:rPr>
          <w:rFonts w:hint="eastAsia" w:ascii="仿宋" w:hAnsi="仿宋" w:eastAsia="仿宋" w:cs="仿宋"/>
          <w:color w:val="auto"/>
          <w:kern w:val="0"/>
          <w:sz w:val="24"/>
          <w:highlight w:val="none"/>
          <w:lang w:val="hr-HR" w:eastAsia="zh-CN"/>
        </w:rPr>
        <w:t>2025年-2026年纪念品</w:t>
      </w:r>
      <w:r>
        <w:rPr>
          <w:rFonts w:hint="eastAsia" w:ascii="仿宋" w:hAnsi="仿宋" w:eastAsia="仿宋" w:cs="仿宋"/>
          <w:b w:val="0"/>
          <w:bCs w:val="0"/>
          <w:color w:val="auto"/>
          <w:sz w:val="24"/>
          <w:lang w:val="en-US" w:eastAsia="zh-CN"/>
        </w:rPr>
        <w:t>，可以发放不超过1000元的纪念品。</w:t>
      </w:r>
    </w:p>
    <w:bookmarkEnd w:id="195"/>
    <w:p w14:paraId="35D180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仿宋" w:hAnsi="仿宋" w:eastAsia="仿宋" w:cs="仿宋"/>
          <w:b w:val="0"/>
          <w:bCs w:val="0"/>
          <w:color w:val="auto"/>
          <w:sz w:val="24"/>
          <w:lang w:val="en-US" w:eastAsia="zh-CN"/>
        </w:rPr>
      </w:pPr>
      <w:bookmarkStart w:id="196" w:name="_Toc32767"/>
      <w:r>
        <w:rPr>
          <w:rFonts w:hint="eastAsia" w:ascii="仿宋" w:hAnsi="仿宋" w:eastAsia="仿宋" w:cs="仿宋"/>
          <w:b w:val="0"/>
          <w:bCs w:val="0"/>
          <w:color w:val="auto"/>
          <w:sz w:val="24"/>
          <w:lang w:val="en-US" w:eastAsia="zh-CN"/>
        </w:rPr>
        <w:t>2.采购标准：按1000元/人的标准一次性进行公开招标采购，提货券有效期自投标人交货之日起不少于24个月（包含线上、线下提货两种类型）。</w:t>
      </w:r>
      <w:bookmarkEnd w:id="196"/>
    </w:p>
    <w:p w14:paraId="5D820D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仿宋" w:hAnsi="仿宋" w:eastAsia="仿宋" w:cs="仿宋"/>
          <w:b w:val="0"/>
          <w:bCs w:val="0"/>
          <w:color w:val="auto"/>
          <w:sz w:val="24"/>
          <w:lang w:val="en-US" w:eastAsia="zh-CN"/>
        </w:rPr>
      </w:pPr>
      <w:bookmarkStart w:id="197" w:name="_Toc12855"/>
      <w:r>
        <w:rPr>
          <w:rFonts w:hint="eastAsia" w:ascii="仿宋" w:hAnsi="仿宋" w:eastAsia="仿宋" w:cs="仿宋"/>
          <w:b w:val="0"/>
          <w:bCs w:val="0"/>
          <w:color w:val="auto"/>
          <w:sz w:val="24"/>
          <w:lang w:val="en-US" w:eastAsia="zh-CN"/>
        </w:rPr>
        <w:t>3.</w:t>
      </w:r>
      <w:r>
        <w:rPr>
          <w:rFonts w:hint="eastAsia" w:ascii="仿宋" w:hAnsi="仿宋" w:eastAsia="仿宋" w:cs="仿宋"/>
          <w:b w:val="0"/>
          <w:bCs w:val="0"/>
          <w:color w:val="auto"/>
          <w:sz w:val="24"/>
        </w:rPr>
        <w:t>具体采购数量以采购人当期下达的书面采购订单为准。</w:t>
      </w:r>
      <w:r>
        <w:rPr>
          <w:rFonts w:hint="eastAsia" w:ascii="仿宋" w:hAnsi="仿宋" w:eastAsia="仿宋" w:cs="仿宋"/>
          <w:b w:val="0"/>
          <w:bCs w:val="0"/>
          <w:color w:val="auto"/>
          <w:sz w:val="24"/>
          <w:lang w:eastAsia="zh-CN"/>
        </w:rPr>
        <w:t>投标人</w:t>
      </w:r>
      <w:r>
        <w:rPr>
          <w:rFonts w:hint="eastAsia" w:ascii="仿宋" w:hAnsi="仿宋" w:eastAsia="仿宋" w:cs="仿宋"/>
          <w:b w:val="0"/>
          <w:bCs w:val="0"/>
          <w:color w:val="auto"/>
          <w:sz w:val="24"/>
        </w:rPr>
        <w:t>应根据采购人提供的所需</w:t>
      </w:r>
      <w:r>
        <w:rPr>
          <w:rFonts w:hint="eastAsia" w:ascii="仿宋" w:hAnsi="仿宋" w:eastAsia="仿宋" w:cs="仿宋"/>
          <w:b w:val="0"/>
          <w:bCs w:val="0"/>
          <w:color w:val="auto"/>
          <w:sz w:val="24"/>
          <w:lang w:val="en-US" w:eastAsia="zh-CN"/>
        </w:rPr>
        <w:t>纪念品</w:t>
      </w:r>
      <w:r>
        <w:rPr>
          <w:rFonts w:hint="eastAsia" w:ascii="仿宋" w:hAnsi="仿宋" w:eastAsia="仿宋" w:cs="仿宋"/>
          <w:b w:val="0"/>
          <w:bCs w:val="0"/>
          <w:color w:val="auto"/>
          <w:sz w:val="24"/>
        </w:rPr>
        <w:t>清单、按</w:t>
      </w:r>
      <w:r>
        <w:rPr>
          <w:rFonts w:hint="eastAsia" w:ascii="仿宋" w:hAnsi="仿宋" w:eastAsia="仿宋" w:cs="仿宋"/>
          <w:b w:val="0"/>
          <w:bCs w:val="0"/>
          <w:color w:val="auto"/>
          <w:sz w:val="24"/>
          <w:lang w:val="en-US" w:eastAsia="zh-CN"/>
        </w:rPr>
        <w:t>招标</w:t>
      </w:r>
      <w:r>
        <w:rPr>
          <w:rFonts w:hint="eastAsia" w:ascii="仿宋" w:hAnsi="仿宋" w:eastAsia="仿宋" w:cs="仿宋"/>
          <w:b w:val="0"/>
          <w:bCs w:val="0"/>
          <w:color w:val="auto"/>
          <w:sz w:val="24"/>
        </w:rPr>
        <w:t>文件要求、</w:t>
      </w:r>
      <w:r>
        <w:rPr>
          <w:rFonts w:hint="eastAsia" w:ascii="仿宋" w:hAnsi="仿宋" w:eastAsia="仿宋" w:cs="仿宋"/>
          <w:b w:val="0"/>
          <w:bCs w:val="0"/>
          <w:color w:val="auto"/>
          <w:sz w:val="24"/>
          <w:lang w:val="en-US" w:eastAsia="zh-CN"/>
        </w:rPr>
        <w:t>投标</w:t>
      </w:r>
      <w:r>
        <w:rPr>
          <w:rFonts w:hint="eastAsia" w:ascii="仿宋" w:hAnsi="仿宋" w:eastAsia="仿宋" w:cs="仿宋"/>
          <w:b w:val="0"/>
          <w:bCs w:val="0"/>
          <w:color w:val="auto"/>
          <w:sz w:val="24"/>
        </w:rPr>
        <w:t>文件响应承诺和合同约定完成</w:t>
      </w:r>
      <w:r>
        <w:rPr>
          <w:rFonts w:hint="eastAsia" w:ascii="仿宋" w:hAnsi="仿宋" w:eastAsia="仿宋" w:cs="仿宋"/>
          <w:b w:val="0"/>
          <w:bCs w:val="0"/>
          <w:color w:val="auto"/>
          <w:sz w:val="24"/>
          <w:lang w:val="en-US" w:eastAsia="zh-CN"/>
        </w:rPr>
        <w:t>纪念品</w:t>
      </w:r>
      <w:r>
        <w:rPr>
          <w:rFonts w:hint="eastAsia" w:ascii="仿宋" w:hAnsi="仿宋" w:eastAsia="仿宋" w:cs="仿宋"/>
          <w:b w:val="0"/>
          <w:bCs w:val="0"/>
          <w:color w:val="auto"/>
          <w:sz w:val="24"/>
        </w:rPr>
        <w:t>供应及其相应的服务工作。</w:t>
      </w:r>
      <w:bookmarkEnd w:id="197"/>
    </w:p>
    <w:p w14:paraId="66F5EB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仿宋" w:hAnsi="仿宋" w:eastAsia="仿宋" w:cs="仿宋"/>
          <w:b/>
          <w:bCs/>
          <w:sz w:val="24"/>
          <w:lang w:val="en-US" w:eastAsia="zh-CN"/>
        </w:rPr>
      </w:pPr>
      <w:bookmarkStart w:id="198" w:name="_Toc24774"/>
      <w:r>
        <w:rPr>
          <w:rFonts w:hint="eastAsia" w:ascii="仿宋" w:hAnsi="仿宋" w:eastAsia="仿宋" w:cs="仿宋"/>
          <w:b w:val="0"/>
          <w:bCs w:val="0"/>
          <w:color w:val="auto"/>
          <w:sz w:val="24"/>
          <w:lang w:val="en-US" w:eastAsia="zh-CN"/>
        </w:rPr>
        <w:t>4.预算金额：6万元（1000元/人，预计60份，以实际发放人数为据实结算）。</w:t>
      </w:r>
      <w:bookmarkEnd w:id="198"/>
    </w:p>
    <w:bookmarkEnd w:id="194"/>
    <w:p w14:paraId="4B73661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仿宋" w:hAnsi="仿宋" w:eastAsia="仿宋" w:cs="仿宋"/>
          <w:b/>
          <w:bCs/>
          <w:color w:val="auto"/>
          <w:sz w:val="24"/>
          <w:lang w:eastAsia="zh-CN"/>
        </w:rPr>
      </w:pPr>
      <w:bookmarkStart w:id="199" w:name="_Toc13222"/>
      <w:r>
        <w:rPr>
          <w:rFonts w:hint="eastAsia" w:ascii="仿宋" w:hAnsi="仿宋" w:eastAsia="仿宋" w:cs="仿宋"/>
          <w:b/>
          <w:bCs/>
          <w:color w:val="auto"/>
          <w:sz w:val="24"/>
          <w:lang w:val="en-US" w:eastAsia="zh-CN"/>
        </w:rPr>
        <w:t>二</w:t>
      </w:r>
      <w:r>
        <w:rPr>
          <w:rFonts w:hint="eastAsia" w:ascii="仿宋" w:hAnsi="仿宋" w:eastAsia="仿宋" w:cs="仿宋"/>
          <w:b/>
          <w:bCs/>
          <w:color w:val="auto"/>
          <w:sz w:val="24"/>
        </w:rPr>
        <w:t>、采购标的</w:t>
      </w:r>
      <w:r>
        <w:rPr>
          <w:rFonts w:hint="eastAsia" w:ascii="仿宋" w:hAnsi="仿宋" w:eastAsia="仿宋" w:cs="仿宋"/>
          <w:b/>
          <w:bCs/>
          <w:color w:val="auto"/>
          <w:sz w:val="24"/>
          <w:lang w:val="en-US" w:eastAsia="zh-CN"/>
        </w:rPr>
        <w:t>清单</w:t>
      </w:r>
      <w:bookmarkEnd w:id="199"/>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137"/>
        <w:gridCol w:w="1439"/>
        <w:gridCol w:w="1171"/>
        <w:gridCol w:w="1113"/>
        <w:gridCol w:w="880"/>
        <w:gridCol w:w="1028"/>
        <w:gridCol w:w="919"/>
      </w:tblGrid>
      <w:tr w14:paraId="44EC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87" w:type="pct"/>
            <w:shd w:val="clear" w:color="auto" w:fill="BEBEBE" w:themeFill="background1" w:themeFillShade="BF"/>
            <w:vAlign w:val="center"/>
          </w:tcPr>
          <w:p w14:paraId="46D990D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序号</w:t>
            </w:r>
          </w:p>
        </w:tc>
        <w:tc>
          <w:tcPr>
            <w:tcW w:w="667" w:type="pct"/>
            <w:shd w:val="clear" w:color="auto" w:fill="BEBEBE" w:themeFill="background1" w:themeFillShade="BF"/>
            <w:vAlign w:val="center"/>
          </w:tcPr>
          <w:p w14:paraId="02E0443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采购标的名称</w:t>
            </w:r>
          </w:p>
        </w:tc>
        <w:tc>
          <w:tcPr>
            <w:tcW w:w="844" w:type="pct"/>
            <w:shd w:val="clear" w:color="auto" w:fill="BEBEBE" w:themeFill="background1" w:themeFillShade="BF"/>
            <w:vAlign w:val="center"/>
          </w:tcPr>
          <w:p w14:paraId="5B74E3D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预估数量</w:t>
            </w:r>
          </w:p>
        </w:tc>
        <w:tc>
          <w:tcPr>
            <w:tcW w:w="687" w:type="pct"/>
            <w:shd w:val="clear" w:color="auto" w:fill="BEBEBE" w:themeFill="background1" w:themeFillShade="BF"/>
            <w:vAlign w:val="center"/>
          </w:tcPr>
          <w:p w14:paraId="1E0FC99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预算金额</w:t>
            </w:r>
            <w:r>
              <w:rPr>
                <w:rFonts w:hint="eastAsia" w:ascii="仿宋" w:hAnsi="仿宋" w:eastAsia="仿宋" w:cs="仿宋"/>
                <w:b/>
                <w:bCs/>
                <w:color w:val="auto"/>
                <w:sz w:val="24"/>
                <w:szCs w:val="24"/>
                <w:highlight w:val="none"/>
              </w:rPr>
              <w:t>（万元）</w:t>
            </w:r>
          </w:p>
        </w:tc>
        <w:tc>
          <w:tcPr>
            <w:tcW w:w="653" w:type="pct"/>
            <w:shd w:val="clear" w:color="auto" w:fill="BEBEBE" w:themeFill="background1" w:themeFillShade="BF"/>
            <w:vAlign w:val="center"/>
          </w:tcPr>
          <w:p w14:paraId="52C6A78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highlight w:val="yellow"/>
              </w:rPr>
            </w:pPr>
            <w:r>
              <w:rPr>
                <w:rFonts w:hint="eastAsia" w:ascii="仿宋" w:hAnsi="仿宋" w:eastAsia="仿宋" w:cs="仿宋"/>
                <w:b/>
                <w:bCs/>
                <w:color w:val="auto"/>
                <w:sz w:val="24"/>
                <w:szCs w:val="24"/>
                <w:highlight w:val="none"/>
              </w:rPr>
              <w:t>最高限价（万元）</w:t>
            </w:r>
          </w:p>
        </w:tc>
        <w:tc>
          <w:tcPr>
            <w:tcW w:w="516" w:type="pct"/>
            <w:shd w:val="clear" w:color="auto" w:fill="BEBEBE" w:themeFill="background1" w:themeFillShade="BF"/>
            <w:vAlign w:val="center"/>
          </w:tcPr>
          <w:p w14:paraId="7C6BBAA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所属</w:t>
            </w:r>
          </w:p>
          <w:p w14:paraId="30F97E0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行业</w:t>
            </w:r>
          </w:p>
        </w:tc>
        <w:tc>
          <w:tcPr>
            <w:tcW w:w="603" w:type="pct"/>
            <w:shd w:val="clear" w:color="auto" w:fill="BEBEBE" w:themeFill="background1" w:themeFillShade="BF"/>
            <w:vAlign w:val="center"/>
          </w:tcPr>
          <w:p w14:paraId="0D8AD40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是否接受进口产品</w:t>
            </w:r>
          </w:p>
        </w:tc>
        <w:tc>
          <w:tcPr>
            <w:tcW w:w="539" w:type="pct"/>
            <w:shd w:val="clear" w:color="auto" w:fill="BEBEBE" w:themeFill="background1" w:themeFillShade="BF"/>
            <w:vAlign w:val="center"/>
          </w:tcPr>
          <w:p w14:paraId="7BAE981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highlight w:val="yellow"/>
              </w:rPr>
            </w:pPr>
            <w:r>
              <w:rPr>
                <w:rFonts w:hint="eastAsia" w:ascii="仿宋" w:hAnsi="仿宋" w:eastAsia="仿宋" w:cs="仿宋"/>
                <w:b/>
                <w:bCs/>
                <w:color w:val="auto"/>
                <w:sz w:val="24"/>
                <w:szCs w:val="24"/>
                <w:highlight w:val="none"/>
              </w:rPr>
              <w:t>要求/备注</w:t>
            </w:r>
          </w:p>
        </w:tc>
      </w:tr>
      <w:tr w14:paraId="47E2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87" w:type="pct"/>
            <w:vAlign w:val="center"/>
          </w:tcPr>
          <w:p w14:paraId="582242C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w:t>
            </w:r>
          </w:p>
        </w:tc>
        <w:tc>
          <w:tcPr>
            <w:tcW w:w="667" w:type="pct"/>
            <w:shd w:val="clear" w:color="auto" w:fill="auto"/>
            <w:vAlign w:val="center"/>
          </w:tcPr>
          <w:p w14:paraId="55CA24F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提货券</w:t>
            </w:r>
          </w:p>
        </w:tc>
        <w:tc>
          <w:tcPr>
            <w:tcW w:w="844" w:type="pct"/>
            <w:shd w:val="clear" w:color="auto" w:fill="auto"/>
            <w:vAlign w:val="center"/>
          </w:tcPr>
          <w:p w14:paraId="495641A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w:t>
            </w:r>
            <w:r>
              <w:rPr>
                <w:rFonts w:hint="default" w:ascii="仿宋" w:hAnsi="仿宋" w:eastAsia="仿宋" w:cs="仿宋"/>
                <w:color w:val="auto"/>
                <w:kern w:val="2"/>
                <w:sz w:val="24"/>
                <w:szCs w:val="24"/>
                <w:highlight w:val="none"/>
                <w:lang w:val="en-US" w:eastAsia="zh-CN" w:bidi="ar-SA"/>
              </w:rPr>
              <w:t>0份（以实际发放人数为据实结算）</w:t>
            </w:r>
          </w:p>
        </w:tc>
        <w:tc>
          <w:tcPr>
            <w:tcW w:w="687" w:type="pct"/>
            <w:shd w:val="clear" w:color="auto" w:fill="auto"/>
            <w:vAlign w:val="center"/>
          </w:tcPr>
          <w:p w14:paraId="04C0E50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653" w:type="pct"/>
            <w:shd w:val="clear" w:color="auto" w:fill="auto"/>
            <w:vAlign w:val="center"/>
          </w:tcPr>
          <w:p w14:paraId="12DDDCA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516" w:type="pct"/>
            <w:shd w:val="clear" w:color="auto" w:fill="auto"/>
            <w:vAlign w:val="center"/>
          </w:tcPr>
          <w:p w14:paraId="458D6A7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2"/>
                <w:sz w:val="24"/>
                <w:szCs w:val="24"/>
                <w:highlight w:val="none"/>
                <w:lang w:val="en-US" w:eastAsia="zh-CN" w:bidi="ar-SA"/>
              </w:rPr>
            </w:pPr>
            <w:r>
              <w:rPr>
                <w:rFonts w:hint="default" w:ascii="仿宋" w:hAnsi="仿宋" w:eastAsia="仿宋" w:cs="仿宋"/>
                <w:color w:val="auto"/>
                <w:kern w:val="2"/>
                <w:sz w:val="24"/>
                <w:szCs w:val="24"/>
                <w:highlight w:val="none"/>
                <w:lang w:val="en-US" w:eastAsia="zh-CN" w:bidi="ar-SA"/>
              </w:rPr>
              <w:t>零售业</w:t>
            </w:r>
          </w:p>
        </w:tc>
        <w:tc>
          <w:tcPr>
            <w:tcW w:w="603" w:type="pct"/>
            <w:shd w:val="clear" w:color="auto" w:fill="auto"/>
            <w:vAlign w:val="center"/>
          </w:tcPr>
          <w:p w14:paraId="306E8E3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不接受</w:t>
            </w:r>
          </w:p>
        </w:tc>
        <w:tc>
          <w:tcPr>
            <w:tcW w:w="539" w:type="pct"/>
            <w:shd w:val="clear" w:color="auto" w:fill="auto"/>
            <w:vAlign w:val="center"/>
          </w:tcPr>
          <w:p w14:paraId="2A46A8F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w:t>
            </w:r>
          </w:p>
        </w:tc>
      </w:tr>
    </w:tbl>
    <w:p w14:paraId="167B8637">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outlineLvl w:val="1"/>
        <w:rPr>
          <w:rFonts w:hint="eastAsia" w:ascii="仿宋" w:hAnsi="仿宋" w:eastAsia="仿宋" w:cs="仿宋"/>
          <w:b/>
          <w:bCs/>
          <w:color w:val="auto"/>
          <w:sz w:val="24"/>
          <w:lang w:val="en-US" w:eastAsia="zh-CN"/>
        </w:rPr>
      </w:pPr>
      <w:bookmarkStart w:id="200" w:name="_Toc21708"/>
      <w:bookmarkStart w:id="201" w:name="_Toc19021"/>
      <w:r>
        <w:rPr>
          <w:rFonts w:hint="eastAsia" w:ascii="仿宋" w:hAnsi="仿宋" w:eastAsia="仿宋" w:cs="仿宋"/>
          <w:b/>
          <w:bCs/>
          <w:color w:val="auto"/>
          <w:sz w:val="24"/>
          <w:lang w:val="en-US" w:eastAsia="zh-CN"/>
        </w:rPr>
        <w:t>三、技术要求</w:t>
      </w:r>
      <w:bookmarkEnd w:id="200"/>
    </w:p>
    <w:p w14:paraId="60F274BC">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1.投标人应具有履行本次采购合同项下</w:t>
      </w:r>
      <w:r>
        <w:rPr>
          <w:rFonts w:hint="eastAsia" w:ascii="仿宋" w:hAnsi="仿宋" w:eastAsia="仿宋" w:cs="仿宋"/>
          <w:b w:val="0"/>
          <w:bCs w:val="0"/>
          <w:color w:val="auto"/>
          <w:sz w:val="24"/>
          <w:lang w:val="en-US" w:eastAsia="zh-CN"/>
        </w:rPr>
        <w:t>纪念品</w:t>
      </w:r>
      <w:r>
        <w:rPr>
          <w:rFonts w:hint="eastAsia" w:ascii="仿宋" w:hAnsi="仿宋" w:eastAsia="仿宋" w:cs="仿宋"/>
          <w:b w:val="0"/>
          <w:bCs w:val="0"/>
          <w:color w:val="auto"/>
          <w:sz w:val="24"/>
          <w:szCs w:val="24"/>
          <w:highlight w:val="none"/>
          <w:lang w:val="en-US" w:eastAsia="zh-CN"/>
        </w:rPr>
        <w:t>供应能力应针对本次采购项目要求制定</w:t>
      </w:r>
      <w:r>
        <w:rPr>
          <w:rFonts w:hint="eastAsia" w:ascii="仿宋" w:hAnsi="仿宋" w:eastAsia="仿宋"/>
          <w:color w:val="auto"/>
          <w:sz w:val="24"/>
        </w:rPr>
        <w:t>供货方案</w:t>
      </w:r>
      <w:r>
        <w:rPr>
          <w:rFonts w:hint="eastAsia" w:ascii="仿宋" w:hAnsi="仿宋" w:eastAsia="仿宋"/>
          <w:color w:val="auto"/>
          <w:sz w:val="24"/>
          <w:lang w:eastAsia="zh-CN"/>
        </w:rPr>
        <w:t>、</w:t>
      </w:r>
      <w:r>
        <w:rPr>
          <w:rFonts w:hint="eastAsia" w:ascii="仿宋" w:hAnsi="仿宋" w:eastAsia="仿宋"/>
          <w:color w:val="auto"/>
          <w:sz w:val="24"/>
          <w:lang w:val="en-US" w:eastAsia="zh-CN"/>
        </w:rPr>
        <w:t>货源</w:t>
      </w:r>
      <w:r>
        <w:rPr>
          <w:rFonts w:hint="eastAsia" w:ascii="仿宋" w:hAnsi="仿宋" w:eastAsia="仿宋"/>
          <w:color w:val="auto"/>
          <w:sz w:val="24"/>
        </w:rPr>
        <w:t>方案</w:t>
      </w:r>
      <w:r>
        <w:rPr>
          <w:rFonts w:hint="eastAsia" w:ascii="仿宋" w:hAnsi="仿宋" w:eastAsia="仿宋"/>
          <w:color w:val="auto"/>
          <w:sz w:val="24"/>
          <w:lang w:eastAsia="zh-CN"/>
        </w:rPr>
        <w:t>、</w:t>
      </w:r>
      <w:r>
        <w:rPr>
          <w:rFonts w:hint="eastAsia" w:ascii="仿宋" w:hAnsi="仿宋" w:eastAsia="仿宋"/>
          <w:color w:val="auto"/>
          <w:sz w:val="24"/>
          <w:lang w:val="en-US" w:eastAsia="zh-CN"/>
        </w:rPr>
        <w:t>人员配备、</w:t>
      </w:r>
      <w:r>
        <w:rPr>
          <w:rFonts w:hint="eastAsia" w:ascii="仿宋" w:hAnsi="仿宋" w:eastAsia="仿宋" w:cs="仿宋"/>
          <w:color w:val="auto"/>
          <w:sz w:val="24"/>
        </w:rPr>
        <w:t>质量控制方案</w:t>
      </w:r>
      <w:r>
        <w:rPr>
          <w:rFonts w:hint="eastAsia" w:ascii="仿宋" w:hAnsi="仿宋" w:eastAsia="仿宋" w:cs="仿宋"/>
          <w:color w:val="auto"/>
          <w:sz w:val="24"/>
          <w:lang w:eastAsia="zh-CN"/>
        </w:rPr>
        <w:t>、售后服务方案、应急预案</w:t>
      </w:r>
      <w:r>
        <w:rPr>
          <w:rFonts w:hint="eastAsia" w:ascii="仿宋" w:hAnsi="仿宋" w:eastAsia="仿宋" w:cs="仿宋"/>
          <w:color w:val="auto"/>
          <w:sz w:val="24"/>
          <w:lang w:val="en-US" w:eastAsia="zh-CN"/>
        </w:rPr>
        <w:t>等</w:t>
      </w:r>
      <w:r>
        <w:rPr>
          <w:rFonts w:hint="eastAsia" w:ascii="仿宋" w:hAnsi="仿宋" w:eastAsia="仿宋" w:cs="仿宋"/>
          <w:b w:val="0"/>
          <w:bCs w:val="0"/>
          <w:color w:val="auto"/>
          <w:sz w:val="24"/>
          <w:szCs w:val="24"/>
          <w:highlight w:val="none"/>
          <w:lang w:val="en-US" w:eastAsia="zh-CN"/>
        </w:rPr>
        <w:t>。要求：全面、合理、操作性强、服务保证措施完善。</w:t>
      </w:r>
    </w:p>
    <w:p w14:paraId="0C7D668C">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color w:val="auto"/>
          <w:sz w:val="24"/>
          <w:lang w:val="en-US" w:eastAsia="zh-CN"/>
        </w:rPr>
        <w:t>可供选择的粮油类、食品类（不包含烟酒类）、生鲜类、日用品类货物品种齐全，能详细提供每类</w:t>
      </w:r>
      <w:r>
        <w:rPr>
          <w:rFonts w:hint="eastAsia" w:ascii="仿宋" w:hAnsi="仿宋" w:eastAsia="仿宋" w:cs="仿宋"/>
          <w:b w:val="0"/>
          <w:bCs w:val="0"/>
          <w:color w:val="auto"/>
          <w:sz w:val="24"/>
          <w:lang w:val="en-US" w:eastAsia="zh-CN"/>
        </w:rPr>
        <w:t>纪念品</w:t>
      </w:r>
      <w:r>
        <w:rPr>
          <w:rFonts w:hint="eastAsia" w:ascii="仿宋" w:hAnsi="仿宋" w:eastAsia="仿宋" w:cs="仿宋"/>
          <w:color w:val="auto"/>
          <w:sz w:val="24"/>
          <w:lang w:val="en-US" w:eastAsia="zh-CN"/>
        </w:rPr>
        <w:t>商品品牌品种、规格、型号情况，</w:t>
      </w:r>
      <w:r>
        <w:rPr>
          <w:rFonts w:hint="eastAsia" w:ascii="仿宋" w:hAnsi="仿宋" w:eastAsia="仿宋" w:cs="仿宋"/>
          <w:b w:val="0"/>
          <w:bCs w:val="0"/>
          <w:color w:val="auto"/>
          <w:sz w:val="24"/>
          <w:szCs w:val="24"/>
          <w:highlight w:val="none"/>
        </w:rPr>
        <w:t>优先考虑公认的优质品牌，并贴合节日的时效性，质保期符合国家“三包”规定</w:t>
      </w:r>
      <w:r>
        <w:rPr>
          <w:rFonts w:hint="eastAsia" w:ascii="仿宋" w:hAnsi="仿宋" w:eastAsia="仿宋" w:cs="仿宋"/>
          <w:color w:val="auto"/>
          <w:sz w:val="24"/>
          <w:lang w:val="en-US" w:eastAsia="zh-CN"/>
        </w:rPr>
        <w:t>。所供</w:t>
      </w:r>
      <w:r>
        <w:rPr>
          <w:rFonts w:hint="eastAsia" w:ascii="仿宋" w:hAnsi="仿宋" w:eastAsia="仿宋" w:cs="仿宋"/>
          <w:b w:val="0"/>
          <w:bCs w:val="0"/>
          <w:color w:val="auto"/>
          <w:sz w:val="24"/>
          <w:lang w:val="en-US" w:eastAsia="zh-CN"/>
        </w:rPr>
        <w:t>纪念品</w:t>
      </w:r>
      <w:r>
        <w:rPr>
          <w:rFonts w:hint="eastAsia" w:ascii="仿宋" w:hAnsi="仿宋" w:eastAsia="仿宋" w:cs="仿宋"/>
          <w:color w:val="auto"/>
          <w:sz w:val="24"/>
          <w:lang w:val="en-US" w:eastAsia="zh-CN"/>
        </w:rPr>
        <w:t>非自己生产的，应提供与</w:t>
      </w:r>
      <w:r>
        <w:rPr>
          <w:rFonts w:hint="eastAsia" w:ascii="仿宋" w:hAnsi="仿宋" w:eastAsia="仿宋" w:cs="仿宋"/>
          <w:b w:val="0"/>
          <w:bCs w:val="0"/>
          <w:color w:val="auto"/>
          <w:sz w:val="24"/>
          <w:lang w:val="en-US" w:eastAsia="zh-CN"/>
        </w:rPr>
        <w:t>纪念品</w:t>
      </w:r>
      <w:r>
        <w:rPr>
          <w:rFonts w:hint="eastAsia" w:ascii="仿宋" w:hAnsi="仿宋" w:eastAsia="仿宋" w:cs="仿宋"/>
          <w:color w:val="auto"/>
          <w:sz w:val="24"/>
          <w:lang w:val="en-US" w:eastAsia="zh-CN"/>
        </w:rPr>
        <w:t>生产商或其代理商签订的供销合同。</w:t>
      </w:r>
    </w:p>
    <w:p w14:paraId="1A53A5B6">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3.投标人提供纪念品供应服务质量、卫生保证措施及内控管理制度建设情况。</w:t>
      </w:r>
    </w:p>
    <w:p w14:paraId="3DCCADE0">
      <w:pPr>
        <w:spacing w:line="360" w:lineRule="auto"/>
        <w:ind w:firstLine="482" w:firstLineChars="200"/>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*4.提货券（单）有效期限自投标人交货之日起不少于24个月（包含线上（可快递达到指定地点）、线下提货2种类型）。</w:t>
      </w:r>
    </w:p>
    <w:p w14:paraId="60498514">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5.投标人根据自身特点和优势作出的其他优惠服务承诺。</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color w:val="auto"/>
          <w:sz w:val="24"/>
          <w:lang w:val="en-US" w:eastAsia="zh-CN"/>
        </w:rPr>
        <w:t>按采购人选定的商品备货，并保证每个提货点货源充足。如有破损等瑕疵及时更换，数量不足及时追加，并承担退货、调换所发生的全部费用。</w:t>
      </w:r>
    </w:p>
    <w:p w14:paraId="6F164D65">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color w:val="auto"/>
          <w:sz w:val="24"/>
          <w:lang w:val="en-US" w:eastAsia="zh-CN"/>
        </w:rPr>
        <w:t>应在收到采购人订单3日内回告采购人纪念品的备货情况。</w:t>
      </w:r>
    </w:p>
    <w:p w14:paraId="7D305E67">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7.采购人所购纪念品若出现供货问题，投标人应在接到订单后3个工作日内回告采购人。</w:t>
      </w:r>
    </w:p>
    <w:p w14:paraId="55DB5F18">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8.</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color w:val="auto"/>
          <w:sz w:val="24"/>
          <w:lang w:val="en-US" w:eastAsia="zh-CN"/>
        </w:rPr>
        <w:t>保证纪念品必须是全新的、未使用过的，并符合国家食品卫生安全有关质量标准及规范的商品。标签及包装标识内容应符合国家有关规定，具有许可证编号、产品标准号、产品名称、制造者（生产商）名称、电话和地址。保证所供粮、油、杂粮必须是最近六个月生产的商品。采购人若发现成交投标人提供非正规商品或存在严重质量问题，并经查实的，采购人可拒付全部货款。投标人除须负全部法律责任外，还须向采购人按该纪念品零售价10倍支付罚金，且采购人有权提前解除购书合同。</w:t>
      </w:r>
    </w:p>
    <w:p w14:paraId="3B963E0A">
      <w:pPr>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9.投标人应在采购人本地（武汉市）具备实体店或卖场，且实体店或卖场分布广泛，方便采购人职工到店采购。主卖场或主店内可供选择的米、面、油食品种类（品牌）不少于100种。</w:t>
      </w:r>
    </w:p>
    <w:p w14:paraId="0C5E4FA2">
      <w:pPr>
        <w:spacing w:line="360" w:lineRule="auto"/>
        <w:ind w:firstLine="482" w:firstLineChars="200"/>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10.投标人供货及时，配备专人负责业务服务工作，服务态度好，每份纪念品包装箱内提供温馨问候卡片。</w:t>
      </w:r>
    </w:p>
    <w:p w14:paraId="772AC671">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11.投标人承诺须保证所供纪念品达到国家相关要求的合格及以上标准。所供提货券可在武汉市内各家门店通用。供货商服务响应时间不长于12小时，客服电话上班时间畅通。</w:t>
      </w:r>
    </w:p>
    <w:p w14:paraId="3969C707">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12.</w:t>
      </w:r>
      <w:r>
        <w:rPr>
          <w:rFonts w:hint="eastAsia" w:ascii="仿宋" w:hAnsi="仿宋" w:eastAsia="仿宋" w:cs="仿宋"/>
          <w:color w:val="auto"/>
          <w:sz w:val="24"/>
          <w:lang w:val="en-US" w:eastAsia="zh-CN"/>
        </w:rPr>
        <w:t>投标人</w:t>
      </w:r>
      <w:r>
        <w:rPr>
          <w:rFonts w:hint="eastAsia" w:ascii="仿宋" w:hAnsi="仿宋" w:eastAsia="仿宋" w:cs="仿宋"/>
          <w:b w:val="0"/>
          <w:bCs w:val="0"/>
          <w:color w:val="auto"/>
          <w:sz w:val="24"/>
          <w:szCs w:val="24"/>
          <w:highlight w:val="none"/>
        </w:rPr>
        <w:t>不得无故终止供货和延期供货，能正常供货且能提供售后</w:t>
      </w:r>
      <w:r>
        <w:rPr>
          <w:rFonts w:hint="eastAsia" w:ascii="仿宋" w:hAnsi="仿宋" w:eastAsia="仿宋" w:cs="仿宋"/>
          <w:b w:val="0"/>
          <w:bCs w:val="0"/>
          <w:color w:val="auto"/>
          <w:sz w:val="24"/>
          <w:szCs w:val="24"/>
          <w:highlight w:val="none"/>
          <w:lang w:val="en-US" w:eastAsia="zh-CN"/>
        </w:rPr>
        <w:t>服务。</w:t>
      </w:r>
    </w:p>
    <w:p w14:paraId="798CDAE9">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仿宋" w:hAnsi="仿宋" w:eastAsia="仿宋"/>
          <w:b w:val="0"/>
          <w:bCs w:val="0"/>
          <w:iCs/>
          <w:color w:val="auto"/>
          <w:sz w:val="24"/>
          <w:lang w:val="en-US" w:eastAsia="zh-CN"/>
        </w:rPr>
      </w:pPr>
      <w:r>
        <w:rPr>
          <w:rFonts w:hint="eastAsia" w:ascii="仿宋" w:hAnsi="仿宋" w:eastAsia="仿宋"/>
          <w:b w:val="0"/>
          <w:bCs w:val="0"/>
          <w:iCs/>
          <w:color w:val="auto"/>
          <w:sz w:val="24"/>
          <w:lang w:val="en-US" w:eastAsia="zh-CN"/>
        </w:rPr>
        <w:t>13.</w:t>
      </w:r>
      <w:r>
        <w:rPr>
          <w:rFonts w:hint="eastAsia" w:ascii="仿宋" w:hAnsi="仿宋" w:eastAsia="仿宋" w:cs="仿宋"/>
          <w:color w:val="auto"/>
          <w:sz w:val="24"/>
          <w:lang w:val="en-US" w:eastAsia="zh-CN"/>
        </w:rPr>
        <w:t>投标人</w:t>
      </w:r>
      <w:r>
        <w:rPr>
          <w:rFonts w:hint="eastAsia" w:ascii="仿宋" w:hAnsi="仿宋" w:eastAsia="仿宋"/>
          <w:b w:val="0"/>
          <w:bCs w:val="0"/>
          <w:iCs/>
          <w:color w:val="auto"/>
          <w:sz w:val="24"/>
          <w:lang w:val="en-US" w:eastAsia="zh-CN"/>
        </w:rPr>
        <w:t>应做好提货券防伪措施及设计，券封上有武汉市中心医院院徽。</w:t>
      </w:r>
    </w:p>
    <w:p w14:paraId="0B248B1B">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仿宋" w:hAnsi="仿宋" w:eastAsia="仿宋"/>
          <w:b w:val="0"/>
          <w:bCs w:val="0"/>
          <w:iCs/>
          <w:color w:val="auto"/>
          <w:sz w:val="24"/>
          <w:highlight w:val="red"/>
          <w:lang w:val="en-US" w:eastAsia="zh-CN"/>
        </w:rPr>
      </w:pPr>
      <w:r>
        <w:rPr>
          <w:rFonts w:hint="eastAsia" w:ascii="仿宋" w:hAnsi="仿宋" w:eastAsia="仿宋"/>
          <w:b/>
          <w:bCs/>
          <w:iCs/>
          <w:color w:val="auto"/>
          <w:sz w:val="24"/>
          <w:highlight w:val="none"/>
          <w:lang w:val="en-US" w:eastAsia="zh-CN"/>
        </w:rPr>
        <w:t>*14.投标人所供纪念品价格不等高于京东商城同类商品的售卖价格（投标人须提供承诺函，否则视为无效投标）。</w:t>
      </w:r>
    </w:p>
    <w:p w14:paraId="0FD5FD72">
      <w:pPr>
        <w:keepNext w:val="0"/>
        <w:keepLines w:val="0"/>
        <w:pageBreakBefore w:val="0"/>
        <w:widowControl w:val="0"/>
        <w:kinsoku/>
        <w:wordWrap/>
        <w:overflowPunct/>
        <w:topLinePunct w:val="0"/>
        <w:bidi w:val="0"/>
        <w:snapToGrid/>
        <w:spacing w:line="360" w:lineRule="auto"/>
        <w:ind w:firstLine="482" w:firstLineChars="200"/>
        <w:textAlignment w:val="auto"/>
        <w:rPr>
          <w:rFonts w:ascii="仿宋" w:hAnsi="仿宋" w:eastAsia="仿宋"/>
          <w:b/>
          <w:bCs/>
          <w:iCs/>
          <w:color w:val="auto"/>
          <w:sz w:val="24"/>
        </w:rPr>
      </w:pPr>
      <w:r>
        <w:rPr>
          <w:rFonts w:hint="eastAsia" w:ascii="仿宋" w:hAnsi="仿宋" w:eastAsia="仿宋"/>
          <w:b/>
          <w:bCs/>
          <w:iCs/>
          <w:color w:val="auto"/>
          <w:sz w:val="24"/>
        </w:rPr>
        <w:t>四、</w:t>
      </w:r>
      <w:r>
        <w:rPr>
          <w:rFonts w:hint="eastAsia" w:ascii="仿宋" w:hAnsi="仿宋" w:eastAsia="仿宋"/>
          <w:b/>
          <w:bCs/>
          <w:iCs/>
          <w:color w:val="auto"/>
          <w:sz w:val="24"/>
          <w:lang w:val="en-US" w:eastAsia="zh-CN"/>
        </w:rPr>
        <w:t>质量</w:t>
      </w:r>
      <w:r>
        <w:rPr>
          <w:rFonts w:hint="eastAsia" w:ascii="仿宋" w:hAnsi="仿宋" w:eastAsia="仿宋"/>
          <w:b/>
          <w:bCs/>
          <w:iCs/>
          <w:color w:val="auto"/>
          <w:sz w:val="24"/>
        </w:rPr>
        <w:t>要求</w:t>
      </w:r>
    </w:p>
    <w:p w14:paraId="76AB058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lang w:val="en-US" w:eastAsia="zh-CN"/>
        </w:rPr>
        <w:t>1.本项目如发现投标人有以下情况，应接受退货并及时更换符合要求的货物，并承担由此造成的经济责任和法律责任：</w:t>
      </w:r>
    </w:p>
    <w:p w14:paraId="3870A7E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lang w:val="en-US" w:eastAsia="zh-CN"/>
        </w:rPr>
        <w:t>（1）腐败变质、混有异物或者其他感官性状异常，对人体健康损害的；含有毒、有害物质或者被有害物质污染。</w:t>
      </w:r>
    </w:p>
    <w:p w14:paraId="075BE22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lang w:val="en-US" w:eastAsia="zh-CN"/>
        </w:rPr>
        <w:t>（2）含有致病性寄生虫、微生物或者微生物含量超过国家限定标准的；未经检疫部门检疫、检验或者检疫、检验不合格的；掺假、掺杂、伪造，影响营养、卫生的；超过保质期限的。</w:t>
      </w:r>
    </w:p>
    <w:p w14:paraId="7A9AFCB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lang w:val="en-US" w:eastAsia="zh-CN"/>
        </w:rPr>
        <w:t>2.</w:t>
      </w:r>
      <w:r>
        <w:rPr>
          <w:rFonts w:hint="eastAsia" w:ascii="仿宋" w:hAnsi="仿宋" w:eastAsia="仿宋" w:cs="仿宋"/>
          <w:color w:val="auto"/>
          <w:sz w:val="24"/>
          <w:lang w:val="en-US" w:eastAsia="zh-CN"/>
        </w:rPr>
        <w:t>投标人</w:t>
      </w:r>
      <w:r>
        <w:rPr>
          <w:rFonts w:hint="eastAsia" w:ascii="仿宋" w:hAnsi="仿宋" w:eastAsia="仿宋" w:cs="仿宋"/>
          <w:b w:val="0"/>
          <w:bCs w:val="0"/>
          <w:color w:val="auto"/>
          <w:sz w:val="24"/>
          <w:lang w:val="en-US" w:eastAsia="zh-CN"/>
        </w:rPr>
        <w:t>必须保证供货</w:t>
      </w:r>
      <w:r>
        <w:rPr>
          <w:rFonts w:hint="eastAsia" w:ascii="仿宋" w:hAnsi="仿宋" w:eastAsia="仿宋" w:cs="仿宋"/>
          <w:color w:val="auto"/>
          <w:sz w:val="24"/>
          <w:lang w:val="en-US" w:eastAsia="zh-CN"/>
        </w:rPr>
        <w:t>纪念品</w:t>
      </w:r>
      <w:r>
        <w:rPr>
          <w:rFonts w:hint="eastAsia" w:ascii="仿宋" w:hAnsi="仿宋" w:eastAsia="仿宋" w:cs="仿宋"/>
          <w:b w:val="0"/>
          <w:bCs w:val="0"/>
          <w:color w:val="auto"/>
          <w:sz w:val="24"/>
          <w:lang w:val="en-US" w:eastAsia="zh-CN"/>
        </w:rPr>
        <w:t>质量、卫生指标及理化指标符合食品安全卫生要求。若因投标人产品质量问题导致食源性疾病、食物中毒等问题而引起投诉或因产品质量问题的一切后果由投标人负责，情节严重者，由</w:t>
      </w:r>
      <w:r>
        <w:rPr>
          <w:rFonts w:hint="eastAsia" w:ascii="仿宋" w:hAnsi="仿宋" w:eastAsia="仿宋" w:cs="仿宋"/>
          <w:color w:val="auto"/>
          <w:sz w:val="24"/>
          <w:lang w:val="en-US" w:eastAsia="zh-CN"/>
        </w:rPr>
        <w:t>投标人负</w:t>
      </w:r>
      <w:r>
        <w:rPr>
          <w:rFonts w:hint="eastAsia" w:ascii="仿宋" w:hAnsi="仿宋" w:eastAsia="仿宋" w:cs="仿宋"/>
          <w:b w:val="0"/>
          <w:bCs w:val="0"/>
          <w:color w:val="auto"/>
          <w:sz w:val="24"/>
          <w:lang w:val="en-US" w:eastAsia="zh-CN"/>
        </w:rPr>
        <w:t>法律责任。</w:t>
      </w:r>
    </w:p>
    <w:p w14:paraId="46266A6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lang w:val="en-US" w:eastAsia="zh-CN"/>
        </w:rPr>
        <w:t>3.如供货质量、卫生指标及理化指标未达到食品安全卫生及相关政策要求的，每出现一次罚款合同总金额的5%。且承担相应法律责任。</w:t>
      </w:r>
    </w:p>
    <w:p w14:paraId="0D8FE3B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4.</w:t>
      </w:r>
      <w:r>
        <w:rPr>
          <w:rFonts w:hint="eastAsia" w:ascii="仿宋" w:hAnsi="仿宋" w:eastAsia="仿宋" w:cs="仿宋"/>
          <w:color w:val="auto"/>
          <w:sz w:val="24"/>
          <w:lang w:val="en-US" w:eastAsia="zh-CN"/>
        </w:rPr>
        <w:t>投标人</w:t>
      </w:r>
      <w:r>
        <w:rPr>
          <w:rFonts w:hint="eastAsia" w:ascii="仿宋" w:hAnsi="仿宋" w:eastAsia="仿宋" w:cs="仿宋"/>
          <w:b w:val="0"/>
          <w:bCs w:val="0"/>
          <w:color w:val="auto"/>
          <w:sz w:val="24"/>
          <w:lang w:val="en-US" w:eastAsia="zh-CN"/>
        </w:rPr>
        <w:t>需要按照采购人约定的时间提供提货券及送货上门，出现延期罚款1000元/次。</w:t>
      </w:r>
    </w:p>
    <w:p w14:paraId="303A366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b/>
          <w:color w:val="auto"/>
          <w:sz w:val="24"/>
          <w:lang w:val="en-US"/>
        </w:rPr>
      </w:pPr>
      <w:r>
        <w:rPr>
          <w:rFonts w:hint="eastAsia" w:ascii="仿宋" w:hAnsi="仿宋" w:eastAsia="仿宋" w:cs="仿宋"/>
          <w:b w:val="0"/>
          <w:bCs w:val="0"/>
          <w:color w:val="auto"/>
          <w:sz w:val="24"/>
          <w:szCs w:val="24"/>
          <w:highlight w:val="none"/>
          <w:lang w:val="en-US" w:eastAsia="zh-CN"/>
        </w:rPr>
        <w:t>5.合理使用期限内，由于投标人提供的商品存在其他质量问题导致采购人投诉或者受到有关政府部门查处的。一切经济责任和法律责任均由投标人负责，采购人有权解除合同并要求投标人进行赔偿。</w:t>
      </w:r>
    </w:p>
    <w:p w14:paraId="758A07FC">
      <w:pPr>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仿宋" w:hAnsi="仿宋" w:eastAsia="仿宋" w:cs="仿宋"/>
          <w:b/>
          <w:bCs/>
          <w:iCs/>
          <w:color w:val="auto"/>
          <w:sz w:val="24"/>
          <w:szCs w:val="24"/>
          <w:highlight w:val="none"/>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iCs/>
          <w:color w:val="auto"/>
          <w:sz w:val="24"/>
          <w:szCs w:val="24"/>
          <w:highlight w:val="none"/>
        </w:rPr>
        <w:t>报价要求</w:t>
      </w:r>
    </w:p>
    <w:p w14:paraId="308AA24C">
      <w:pPr>
        <w:pStyle w:val="12"/>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本</w:t>
      </w:r>
      <w:r>
        <w:rPr>
          <w:rFonts w:hint="eastAsia" w:ascii="仿宋" w:hAnsi="仿宋" w:eastAsia="仿宋" w:cs="仿宋"/>
          <w:b/>
          <w:bCs/>
          <w:color w:val="auto"/>
          <w:sz w:val="24"/>
          <w:szCs w:val="24"/>
          <w:highlight w:val="none"/>
          <w:lang w:val="en-US" w:eastAsia="zh-CN"/>
        </w:rPr>
        <w:t>报价公式：</w:t>
      </w:r>
      <w:r>
        <w:rPr>
          <w:rFonts w:hint="eastAsia" w:ascii="仿宋" w:hAnsi="仿宋" w:eastAsia="仿宋" w:cs="仿宋"/>
          <w:b/>
          <w:bCs/>
          <w:iCs/>
          <w:color w:val="auto"/>
          <w:sz w:val="24"/>
          <w:szCs w:val="24"/>
          <w:highlight w:val="none"/>
          <w:lang w:val="en-US" w:eastAsia="zh-CN"/>
        </w:rPr>
        <w:t>按固定结算价格1000元/投标人所投提货券的面值</w:t>
      </w:r>
      <w:r>
        <w:rPr>
          <w:rFonts w:hint="eastAsia" w:ascii="仿宋" w:hAnsi="仿宋" w:eastAsia="仿宋" w:cs="仿宋"/>
          <w:b/>
          <w:bCs/>
          <w:color w:val="auto"/>
          <w:sz w:val="24"/>
          <w:szCs w:val="24"/>
          <w:highlight w:val="none"/>
        </w:rPr>
        <w:t>*100%的方式计算进行折扣报价</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以百分制形式表示</w:t>
      </w:r>
      <w:r>
        <w:rPr>
          <w:rFonts w:hint="eastAsia" w:ascii="仿宋" w:hAnsi="仿宋" w:eastAsia="仿宋" w:cs="仿宋"/>
          <w:b/>
          <w:bCs/>
          <w:color w:val="auto"/>
          <w:sz w:val="24"/>
          <w:szCs w:val="24"/>
          <w:highlight w:val="none"/>
          <w:lang w:eastAsia="zh-CN"/>
        </w:rPr>
        <w:t>。</w:t>
      </w:r>
    </w:p>
    <w:p w14:paraId="449E1456">
      <w:pPr>
        <w:pStyle w:val="12"/>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举例说明：如</w:t>
      </w:r>
      <w:r>
        <w:rPr>
          <w:rFonts w:hint="eastAsia" w:ascii="仿宋" w:hAnsi="仿宋" w:eastAsia="仿宋" w:cs="仿宋"/>
          <w:b/>
          <w:bCs/>
          <w:color w:val="auto"/>
          <w:sz w:val="24"/>
          <w:lang w:val="en-US" w:eastAsia="zh-CN"/>
        </w:rPr>
        <w:t>投标报价（折扣）为90.9%，则报价公式：按固定结算价格1000元/</w:t>
      </w:r>
      <w:r>
        <w:rPr>
          <w:rFonts w:hint="eastAsia" w:ascii="仿宋" w:hAnsi="仿宋" w:eastAsia="仿宋" w:cs="仿宋"/>
          <w:b/>
          <w:bCs/>
          <w:iCs/>
          <w:color w:val="auto"/>
          <w:sz w:val="24"/>
          <w:szCs w:val="24"/>
          <w:highlight w:val="none"/>
          <w:lang w:val="en-US" w:eastAsia="zh-CN"/>
        </w:rPr>
        <w:t>投标人所投提货券的面值</w:t>
      </w:r>
      <w:r>
        <w:rPr>
          <w:rFonts w:hint="eastAsia" w:ascii="仿宋" w:hAnsi="仿宋" w:eastAsia="仿宋" w:cs="仿宋"/>
          <w:b/>
          <w:bCs/>
          <w:color w:val="auto"/>
          <w:sz w:val="24"/>
          <w:lang w:val="en-US" w:eastAsia="zh-CN"/>
        </w:rPr>
        <w:t>1100元*100%。</w:t>
      </w:r>
    </w:p>
    <w:p w14:paraId="420FBAA5">
      <w:pPr>
        <w:pStyle w:val="12"/>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投标人所投提货券的面值应≥1000元/人，低于上述面值要求的报价按无效投标处理。</w:t>
      </w:r>
    </w:p>
    <w:p w14:paraId="214EC120">
      <w:pPr>
        <w:pStyle w:val="12"/>
        <w:keepNext w:val="0"/>
        <w:keepLines w:val="0"/>
        <w:pageBreakBefore w:val="0"/>
        <w:widowControl w:val="0"/>
        <w:kinsoku/>
        <w:wordWrap/>
        <w:overflowPunct/>
        <w:topLinePunct w:val="0"/>
        <w:bidi w:val="0"/>
        <w:snapToGrid/>
        <w:spacing w:line="360" w:lineRule="auto"/>
        <w:ind w:firstLine="482" w:firstLineChars="200"/>
        <w:textAlignment w:val="auto"/>
        <w:rPr>
          <w:rFonts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3</w:t>
      </w:r>
      <w:r>
        <w:rPr>
          <w:rFonts w:hint="eastAsia" w:ascii="仿宋" w:hAnsi="仿宋" w:eastAsia="仿宋" w:cs="仿宋"/>
          <w:b/>
          <w:bCs w:val="0"/>
          <w:color w:val="auto"/>
          <w:sz w:val="24"/>
          <w:szCs w:val="24"/>
        </w:rPr>
        <w:t>.</w:t>
      </w:r>
      <w:r>
        <w:rPr>
          <w:rFonts w:hint="eastAsia" w:ascii="仿宋" w:hAnsi="仿宋" w:eastAsia="仿宋" w:cs="仿宋"/>
          <w:b/>
          <w:color w:val="auto"/>
          <w:sz w:val="24"/>
          <w:szCs w:val="24"/>
          <w:lang w:val="en-US" w:eastAsia="zh-CN"/>
        </w:rPr>
        <w:t>投标人</w:t>
      </w:r>
      <w:r>
        <w:rPr>
          <w:rFonts w:hint="eastAsia" w:ascii="仿宋" w:hAnsi="仿宋" w:eastAsia="仿宋" w:cs="仿宋"/>
          <w:b/>
          <w:bCs w:val="0"/>
          <w:color w:val="auto"/>
          <w:sz w:val="24"/>
          <w:szCs w:val="24"/>
        </w:rPr>
        <w:t>的报价应包含全部产品、运送、储存、设计、服务、税费等相关的费用，若有缺失视为</w:t>
      </w:r>
      <w:r>
        <w:rPr>
          <w:rFonts w:hint="eastAsia" w:ascii="仿宋" w:hAnsi="仿宋" w:eastAsia="仿宋" w:cs="仿宋"/>
          <w:b/>
          <w:bCs w:val="0"/>
          <w:color w:val="auto"/>
          <w:sz w:val="24"/>
          <w:szCs w:val="24"/>
          <w:lang w:eastAsia="zh-CN"/>
        </w:rPr>
        <w:t>投标人</w:t>
      </w:r>
      <w:r>
        <w:rPr>
          <w:rFonts w:hint="eastAsia" w:ascii="仿宋" w:hAnsi="仿宋" w:eastAsia="仿宋" w:cs="仿宋"/>
          <w:b/>
          <w:bCs w:val="0"/>
          <w:color w:val="auto"/>
          <w:sz w:val="24"/>
          <w:szCs w:val="24"/>
        </w:rPr>
        <w:t>免费提供。采购人不再为此项目支付任何费用。</w:t>
      </w:r>
    </w:p>
    <w:p w14:paraId="4CD3B79C">
      <w:pPr>
        <w:pStyle w:val="302"/>
        <w:spacing w:line="360" w:lineRule="auto"/>
        <w:ind w:firstLine="482" w:firstLineChars="200"/>
        <w:rPr>
          <w:rFonts w:hint="eastAsia" w:ascii="仿宋" w:hAnsi="仿宋" w:eastAsia="仿宋" w:cs="仿宋"/>
          <w:b/>
          <w:bCs/>
          <w:iCs/>
          <w:color w:val="auto"/>
          <w:sz w:val="24"/>
          <w:szCs w:val="24"/>
          <w:highlight w:val="none"/>
        </w:rPr>
      </w:pPr>
      <w:r>
        <w:rPr>
          <w:rFonts w:hint="eastAsia" w:ascii="仿宋" w:hAnsi="仿宋" w:eastAsia="仿宋" w:cs="仿宋"/>
          <w:b/>
          <w:bCs/>
          <w:iCs/>
          <w:color w:val="auto"/>
          <w:sz w:val="24"/>
          <w:szCs w:val="24"/>
          <w:highlight w:val="none"/>
          <w:lang w:val="en-US" w:eastAsia="zh-CN"/>
        </w:rPr>
        <w:t>4.根据采购人要求，按固定结算价格（1000元/人）以及实际发放人数据实结算。</w:t>
      </w:r>
    </w:p>
    <w:p w14:paraId="14466B8A">
      <w:pPr>
        <w:pStyle w:val="302"/>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、商务要求</w:t>
      </w:r>
    </w:p>
    <w:p w14:paraId="25BD02AD">
      <w:pPr>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仿宋" w:hAnsi="仿宋" w:eastAsia="仿宋" w:cs="仿宋"/>
          <w:b/>
          <w:bCs/>
          <w:iCs/>
          <w:color w:val="auto"/>
          <w:sz w:val="24"/>
          <w:szCs w:val="24"/>
          <w:highlight w:val="none"/>
          <w:lang w:eastAsia="zh-CN"/>
        </w:rPr>
      </w:pPr>
      <w:r>
        <w:rPr>
          <w:rFonts w:hint="eastAsia" w:ascii="仿宋" w:hAnsi="仿宋" w:eastAsia="仿宋" w:cs="仿宋"/>
          <w:b/>
          <w:bCs/>
          <w:iCs/>
          <w:color w:val="auto"/>
          <w:sz w:val="24"/>
          <w:szCs w:val="24"/>
          <w:highlight w:val="none"/>
          <w:lang w:val="en-US" w:eastAsia="zh-CN"/>
        </w:rPr>
        <w:t>*</w:t>
      </w:r>
      <w:r>
        <w:rPr>
          <w:rFonts w:hint="eastAsia" w:ascii="仿宋" w:hAnsi="仿宋" w:eastAsia="仿宋" w:cs="仿宋"/>
          <w:b/>
          <w:bCs/>
          <w:iCs/>
          <w:color w:val="auto"/>
          <w:sz w:val="24"/>
          <w:szCs w:val="24"/>
          <w:highlight w:val="none"/>
        </w:rPr>
        <w:t>1.交货期：合同签订后</w:t>
      </w:r>
      <w:r>
        <w:rPr>
          <w:rFonts w:hint="eastAsia" w:ascii="仿宋" w:hAnsi="仿宋" w:eastAsia="仿宋" w:cs="仿宋"/>
          <w:b/>
          <w:bCs/>
          <w:iCs/>
          <w:color w:val="auto"/>
          <w:sz w:val="24"/>
          <w:szCs w:val="24"/>
          <w:highlight w:val="none"/>
          <w:lang w:val="en-US" w:eastAsia="zh-CN"/>
        </w:rPr>
        <w:t>按照采购人要求将</w:t>
      </w:r>
      <w:r>
        <w:rPr>
          <w:rFonts w:hint="eastAsia" w:ascii="仿宋" w:hAnsi="仿宋" w:eastAsia="仿宋" w:cs="仿宋"/>
          <w:b/>
          <w:bCs/>
          <w:iCs/>
          <w:color w:val="auto"/>
          <w:sz w:val="24"/>
          <w:szCs w:val="24"/>
          <w:highlight w:val="none"/>
        </w:rPr>
        <w:t>提货券送达采购人指定地点</w:t>
      </w:r>
      <w:r>
        <w:rPr>
          <w:rFonts w:hint="eastAsia" w:ascii="仿宋" w:hAnsi="仿宋" w:eastAsia="仿宋" w:cs="仿宋"/>
          <w:b/>
          <w:bCs/>
          <w:iCs/>
          <w:color w:val="auto"/>
          <w:sz w:val="24"/>
          <w:szCs w:val="24"/>
          <w:highlight w:val="none"/>
          <w:lang w:eastAsia="zh-CN"/>
        </w:rPr>
        <w:t>。</w:t>
      </w:r>
    </w:p>
    <w:p w14:paraId="3234B48D">
      <w:pPr>
        <w:pStyle w:val="302"/>
        <w:spacing w:line="360" w:lineRule="auto"/>
        <w:ind w:firstLine="482" w:firstLineChars="200"/>
        <w:rPr>
          <w:rFonts w:hint="eastAsia" w:ascii="仿宋" w:hAnsi="仿宋" w:eastAsia="仿宋" w:cs="仿宋"/>
          <w:b/>
          <w:bCs/>
          <w:color w:val="auto"/>
        </w:rPr>
      </w:pPr>
      <w:r>
        <w:rPr>
          <w:rFonts w:hint="eastAsia" w:ascii="仿宋" w:hAnsi="仿宋" w:eastAsia="仿宋" w:cs="仿宋"/>
          <w:b/>
          <w:bCs/>
          <w:color w:val="auto"/>
          <w:lang w:val="en-US" w:eastAsia="zh-CN"/>
        </w:rPr>
        <w:t>*2</w:t>
      </w:r>
      <w:r>
        <w:rPr>
          <w:rFonts w:hint="eastAsia" w:ascii="仿宋" w:hAnsi="仿宋" w:eastAsia="仿宋" w:cs="仿宋"/>
          <w:b/>
          <w:bCs/>
          <w:color w:val="auto"/>
        </w:rPr>
        <w:t>.质保期：符合国家标准及要求，实物质保期不少于产品质保期的2/3。</w:t>
      </w:r>
    </w:p>
    <w:p w14:paraId="629B671A">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iCs/>
          <w:color w:val="auto"/>
          <w:sz w:val="24"/>
          <w:szCs w:val="24"/>
          <w:highlight w:val="none"/>
        </w:rPr>
      </w:pPr>
      <w:r>
        <w:rPr>
          <w:rFonts w:hint="eastAsia" w:ascii="仿宋" w:hAnsi="仿宋" w:eastAsia="仿宋" w:cs="仿宋"/>
          <w:iCs/>
          <w:color w:val="auto"/>
          <w:sz w:val="24"/>
          <w:szCs w:val="24"/>
          <w:highlight w:val="none"/>
          <w:lang w:val="en-US" w:eastAsia="zh-CN"/>
        </w:rPr>
        <w:t>3.交货地点</w:t>
      </w:r>
      <w:r>
        <w:rPr>
          <w:rFonts w:hint="eastAsia" w:ascii="仿宋" w:hAnsi="仿宋" w:eastAsia="仿宋" w:cs="仿宋"/>
          <w:iCs/>
          <w:color w:val="auto"/>
          <w:sz w:val="24"/>
          <w:szCs w:val="24"/>
          <w:highlight w:val="none"/>
        </w:rPr>
        <w:t>：</w:t>
      </w:r>
      <w:r>
        <w:rPr>
          <w:rFonts w:hint="eastAsia" w:ascii="仿宋" w:hAnsi="仿宋" w:eastAsia="仿宋" w:cs="仿宋"/>
          <w:iCs/>
          <w:color w:val="auto"/>
          <w:sz w:val="24"/>
          <w:szCs w:val="24"/>
          <w:highlight w:val="none"/>
          <w:lang w:val="en-US" w:eastAsia="zh-CN"/>
        </w:rPr>
        <w:t>采购人指定地点</w:t>
      </w:r>
      <w:r>
        <w:rPr>
          <w:rFonts w:hint="eastAsia" w:ascii="仿宋" w:hAnsi="仿宋" w:eastAsia="仿宋" w:cs="仿宋"/>
          <w:iCs/>
          <w:color w:val="auto"/>
          <w:sz w:val="24"/>
          <w:szCs w:val="24"/>
          <w:highlight w:val="none"/>
        </w:rPr>
        <w:t>。</w:t>
      </w:r>
    </w:p>
    <w:p w14:paraId="64DDAA9D">
      <w:pPr>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仿宋" w:hAnsi="仿宋" w:eastAsia="仿宋" w:cs="仿宋"/>
          <w:b/>
          <w:bCs/>
          <w:iCs/>
          <w:color w:val="auto"/>
          <w:sz w:val="24"/>
          <w:szCs w:val="24"/>
          <w:highlight w:val="none"/>
        </w:rPr>
      </w:pPr>
      <w:r>
        <w:rPr>
          <w:rFonts w:hint="eastAsia" w:ascii="仿宋" w:hAnsi="仿宋" w:eastAsia="仿宋" w:cs="仿宋"/>
          <w:b/>
          <w:bCs/>
          <w:iCs/>
          <w:color w:val="auto"/>
          <w:sz w:val="24"/>
          <w:szCs w:val="24"/>
          <w:highlight w:val="none"/>
          <w:lang w:val="en-US" w:eastAsia="zh-CN"/>
        </w:rPr>
        <w:t>*4</w:t>
      </w:r>
      <w:r>
        <w:rPr>
          <w:rFonts w:hint="eastAsia" w:ascii="仿宋" w:hAnsi="仿宋" w:eastAsia="仿宋" w:cs="仿宋"/>
          <w:b/>
          <w:bCs/>
          <w:iCs/>
          <w:color w:val="auto"/>
          <w:sz w:val="24"/>
          <w:szCs w:val="24"/>
          <w:highlight w:val="none"/>
        </w:rPr>
        <w:t>.付款方式：</w:t>
      </w:r>
      <w:r>
        <w:rPr>
          <w:rFonts w:hint="eastAsia" w:ascii="仿宋" w:hAnsi="仿宋" w:eastAsia="仿宋" w:cs="仿宋"/>
          <w:b/>
          <w:bCs/>
          <w:iCs/>
          <w:color w:val="auto"/>
          <w:sz w:val="24"/>
          <w:szCs w:val="24"/>
          <w:highlight w:val="none"/>
          <w:lang w:val="en-US" w:eastAsia="zh-CN"/>
        </w:rPr>
        <w:t>以实际发放人数为据实结算</w:t>
      </w:r>
      <w:r>
        <w:rPr>
          <w:rFonts w:hint="eastAsia" w:ascii="仿宋" w:hAnsi="仿宋" w:eastAsia="仿宋" w:cs="仿宋"/>
          <w:b/>
          <w:bCs/>
          <w:iCs/>
          <w:color w:val="auto"/>
          <w:sz w:val="24"/>
          <w:szCs w:val="24"/>
          <w:highlight w:val="none"/>
        </w:rPr>
        <w:t>。</w:t>
      </w:r>
    </w:p>
    <w:p w14:paraId="603029E7">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5.投标人应在投标文件中对交货期、质保期内容、时间作出承诺。</w:t>
      </w:r>
    </w:p>
    <w:p w14:paraId="4442BDFE">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6.保密条款：参与本次项目的投标人应对招标文件和投标文件中的商业和技术等信息保密，否则应承担相应的赔偿及法律责任。</w:t>
      </w:r>
    </w:p>
    <w:p w14:paraId="01865E10">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7.</w:t>
      </w:r>
      <w:r>
        <w:rPr>
          <w:rFonts w:hint="eastAsia" w:ascii="仿宋" w:hAnsi="仿宋" w:eastAsia="仿宋" w:cs="仿宋"/>
          <w:iCs/>
          <w:color w:val="auto"/>
          <w:sz w:val="24"/>
          <w:szCs w:val="24"/>
          <w:highlight w:val="none"/>
        </w:rPr>
        <w:t>违约条款：</w:t>
      </w:r>
      <w:r>
        <w:rPr>
          <w:rFonts w:hint="eastAsia" w:ascii="仿宋" w:hAnsi="仿宋" w:eastAsia="仿宋" w:cs="仿宋"/>
          <w:iCs/>
          <w:color w:val="auto"/>
          <w:sz w:val="24"/>
          <w:szCs w:val="24"/>
          <w:highlight w:val="none"/>
          <w:lang w:val="en-US" w:eastAsia="zh-CN"/>
        </w:rPr>
        <w:t>中标人</w:t>
      </w:r>
      <w:r>
        <w:rPr>
          <w:rFonts w:hint="eastAsia" w:ascii="仿宋" w:hAnsi="仿宋" w:eastAsia="仿宋" w:cs="仿宋"/>
          <w:iCs/>
          <w:color w:val="auto"/>
          <w:sz w:val="24"/>
          <w:szCs w:val="24"/>
          <w:highlight w:val="none"/>
        </w:rPr>
        <w:t>交付的货物、提供的服务不符合招标文件、投标文件或本合同规定的，采购人有权拒收。</w:t>
      </w:r>
      <w:r>
        <w:rPr>
          <w:rFonts w:hint="eastAsia" w:ascii="仿宋" w:hAnsi="仿宋" w:eastAsia="仿宋" w:cs="仿宋"/>
          <w:iCs/>
          <w:color w:val="auto"/>
          <w:sz w:val="24"/>
          <w:szCs w:val="24"/>
          <w:highlight w:val="none"/>
          <w:lang w:val="en-US" w:eastAsia="zh-CN"/>
        </w:rPr>
        <w:t>中标人</w:t>
      </w:r>
      <w:r>
        <w:rPr>
          <w:rFonts w:hint="eastAsia" w:ascii="仿宋" w:hAnsi="仿宋" w:eastAsia="仿宋" w:cs="仿宋"/>
          <w:iCs/>
          <w:color w:val="auto"/>
          <w:sz w:val="24"/>
          <w:szCs w:val="24"/>
          <w:highlight w:val="none"/>
        </w:rPr>
        <w:t>无正当理由未能按本合同规定的交货时间交付货物或提供服务，</w:t>
      </w:r>
      <w:r>
        <w:rPr>
          <w:rFonts w:hint="eastAsia" w:ascii="仿宋" w:hAnsi="仿宋" w:eastAsia="仿宋" w:cs="仿宋"/>
          <w:iCs/>
          <w:color w:val="auto"/>
          <w:sz w:val="24"/>
          <w:szCs w:val="24"/>
          <w:highlight w:val="none"/>
          <w:lang w:val="en-US" w:eastAsia="zh-CN"/>
        </w:rPr>
        <w:t>中标人</w:t>
      </w:r>
      <w:r>
        <w:rPr>
          <w:rFonts w:hint="eastAsia" w:ascii="仿宋" w:hAnsi="仿宋" w:eastAsia="仿宋" w:cs="仿宋"/>
          <w:iCs/>
          <w:color w:val="auto"/>
          <w:sz w:val="24"/>
          <w:szCs w:val="24"/>
          <w:highlight w:val="none"/>
        </w:rPr>
        <w:t>需承担违约责任。采购人无正当理由拒收货物或接受服务，到期拒付货物或服务款项的，逾期付款，采购人需承担违约责任。</w:t>
      </w:r>
    </w:p>
    <w:p w14:paraId="013999D3">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8.投标人提供2022年1月至响应文件递交截止时间完成的类似项目业绩及用户反馈意见。</w:t>
      </w:r>
      <w:bookmarkStart w:id="202" w:name="_Toc17341"/>
    </w:p>
    <w:p w14:paraId="1D2FC5C4">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b/>
          <w:bCs/>
          <w:sz w:val="24"/>
          <w:szCs w:val="32"/>
          <w:lang w:val="en-US" w:eastAsia="zh-CN"/>
        </w:rPr>
      </w:pPr>
      <w:r>
        <w:rPr>
          <w:rFonts w:hint="eastAsia" w:ascii="仿宋" w:hAnsi="仿宋" w:eastAsia="仿宋" w:cs="仿宋"/>
          <w:iCs/>
          <w:color w:val="auto"/>
          <w:sz w:val="24"/>
          <w:szCs w:val="24"/>
          <w:highlight w:val="none"/>
          <w:lang w:val="en-US" w:eastAsia="zh-CN"/>
        </w:rPr>
        <w:t>9.投标人</w:t>
      </w:r>
      <w:r>
        <w:rPr>
          <w:rFonts w:hint="default" w:ascii="仿宋" w:hAnsi="仿宋" w:eastAsia="仿宋" w:cs="仿宋_GB2312"/>
          <w:color w:val="auto"/>
          <w:spacing w:val="4"/>
          <w:sz w:val="24"/>
          <w:highlight w:val="none"/>
          <w:lang w:val="en-US" w:eastAsia="zh-CN"/>
        </w:rPr>
        <w:t>提供门店产品的第三方质检部门出具的产品质检报告，米、面、杂粮、油、食品类（不包含烟酒类）</w:t>
      </w:r>
      <w:r>
        <w:rPr>
          <w:rFonts w:hint="eastAsia" w:ascii="仿宋" w:hAnsi="仿宋" w:eastAsia="仿宋" w:cs="仿宋_GB2312"/>
          <w:color w:val="auto"/>
          <w:spacing w:val="4"/>
          <w:sz w:val="24"/>
          <w:highlight w:val="none"/>
          <w:lang w:val="en-US" w:eastAsia="zh-CN"/>
        </w:rPr>
        <w:t>。</w:t>
      </w:r>
      <w:bookmarkEnd w:id="202"/>
    </w:p>
    <w:bookmarkEnd w:id="187"/>
    <w:bookmarkEnd w:id="188"/>
    <w:bookmarkEnd w:id="189"/>
    <w:bookmarkEnd w:id="190"/>
    <w:bookmarkEnd w:id="191"/>
    <w:bookmarkEnd w:id="201"/>
    <w:p w14:paraId="33A13799">
      <w:pPr>
        <w:pStyle w:val="2"/>
        <w:numPr>
          <w:ilvl w:val="0"/>
          <w:numId w:val="4"/>
        </w:numPr>
        <w:spacing w:before="120" w:after="120" w:line="300" w:lineRule="auto"/>
        <w:rPr>
          <w:rFonts w:hint="eastAsia" w:ascii="黑体" w:hAnsi="黑体" w:eastAsia="黑体" w:cs="黑体"/>
          <w:color w:val="000000"/>
          <w:sz w:val="32"/>
          <w:szCs w:val="32"/>
        </w:rPr>
        <w:sectPr>
          <w:pgSz w:w="11906" w:h="16838"/>
          <w:pgMar w:top="1440" w:right="1800" w:bottom="1440" w:left="1800" w:header="851" w:footer="850" w:gutter="0"/>
          <w:cols w:space="0" w:num="1"/>
          <w:rtlGutter w:val="0"/>
          <w:docGrid w:type="lines" w:linePitch="316" w:charSpace="0"/>
        </w:sectPr>
      </w:pPr>
      <w:bookmarkStart w:id="203" w:name="_Toc163492892"/>
      <w:bookmarkStart w:id="204" w:name="_Toc155185895"/>
    </w:p>
    <w:p w14:paraId="011307C1">
      <w:pPr>
        <w:pStyle w:val="2"/>
        <w:numPr>
          <w:ilvl w:val="0"/>
          <w:numId w:val="4"/>
        </w:numPr>
        <w:spacing w:before="120" w:after="120" w:line="300" w:lineRule="auto"/>
        <w:rPr>
          <w:rFonts w:hint="eastAsia" w:ascii="黑体" w:hAnsi="黑体" w:eastAsia="黑体" w:cs="黑体"/>
          <w:color w:val="000000"/>
          <w:sz w:val="32"/>
          <w:szCs w:val="32"/>
        </w:rPr>
      </w:pPr>
      <w:bookmarkStart w:id="205" w:name="_Toc7585"/>
      <w:r>
        <w:rPr>
          <w:rFonts w:hint="eastAsia" w:ascii="黑体" w:hAnsi="黑体" w:eastAsia="黑体" w:cs="黑体"/>
          <w:color w:val="000000"/>
          <w:sz w:val="32"/>
          <w:szCs w:val="32"/>
        </w:rPr>
        <w:t>资格审查方法及标准</w:t>
      </w:r>
      <w:bookmarkEnd w:id="203"/>
      <w:bookmarkEnd w:id="204"/>
      <w:bookmarkEnd w:id="205"/>
    </w:p>
    <w:p w14:paraId="62368356">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参照</w:t>
      </w:r>
      <w:r>
        <w:rPr>
          <w:rFonts w:hint="eastAsia" w:ascii="仿宋" w:hAnsi="仿宋" w:eastAsia="仿宋" w:cs="仿宋"/>
          <w:sz w:val="24"/>
          <w:szCs w:val="24"/>
        </w:rPr>
        <w:t>《中华人民共和国政府采购法》及其实施条例、《政府采购货物和服务招标投标管理办法》等相关法律法规确定以下资格审查方法和标准。</w:t>
      </w:r>
    </w:p>
    <w:p w14:paraId="7187701C">
      <w:pPr>
        <w:pStyle w:val="3"/>
        <w:pageBreakBefore w:val="0"/>
        <w:widowControl w:val="0"/>
        <w:numPr>
          <w:ilvl w:val="0"/>
          <w:numId w:val="6"/>
        </w:numPr>
        <w:kinsoku/>
        <w:overflowPunct/>
        <w:topLinePunct w:val="0"/>
        <w:autoSpaceDE/>
        <w:autoSpaceDN/>
        <w:bidi w:val="0"/>
        <w:adjustRightInd/>
        <w:snapToGrid/>
        <w:spacing w:before="0" w:after="0" w:line="360" w:lineRule="auto"/>
        <w:ind w:left="0" w:firstLine="482" w:firstLineChars="200"/>
        <w:textAlignment w:val="auto"/>
        <w:rPr>
          <w:rFonts w:hint="eastAsia" w:ascii="仿宋" w:hAnsi="仿宋" w:eastAsia="仿宋" w:cs="仿宋"/>
          <w:sz w:val="24"/>
          <w:szCs w:val="24"/>
          <w:lang w:val="zh-CN"/>
        </w:rPr>
      </w:pPr>
      <w:bookmarkStart w:id="206" w:name="_Toc140132822"/>
      <w:bookmarkStart w:id="207" w:name="_Toc155185897"/>
      <w:bookmarkStart w:id="208" w:name="_Toc7726"/>
      <w:bookmarkStart w:id="209" w:name="_Toc163492893"/>
      <w:r>
        <w:rPr>
          <w:rFonts w:hint="eastAsia" w:ascii="仿宋" w:hAnsi="仿宋" w:eastAsia="仿宋" w:cs="仿宋"/>
          <w:sz w:val="24"/>
          <w:szCs w:val="24"/>
          <w:lang w:val="zh-CN"/>
        </w:rPr>
        <w:t>资格审查</w:t>
      </w:r>
      <w:bookmarkEnd w:id="206"/>
      <w:bookmarkEnd w:id="207"/>
      <w:r>
        <w:rPr>
          <w:rFonts w:hint="eastAsia" w:ascii="仿宋" w:hAnsi="仿宋" w:eastAsia="仿宋" w:cs="仿宋"/>
          <w:sz w:val="24"/>
          <w:szCs w:val="24"/>
        </w:rPr>
        <w:t>方法</w:t>
      </w:r>
      <w:bookmarkEnd w:id="208"/>
      <w:bookmarkEnd w:id="209"/>
    </w:p>
    <w:p w14:paraId="09EAD793">
      <w:pPr>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0D0D0D"/>
          <w:sz w:val="24"/>
          <w:szCs w:val="24"/>
          <w:lang w:val="zh-CN"/>
        </w:rPr>
      </w:pPr>
      <w:r>
        <w:rPr>
          <w:rFonts w:hint="eastAsia" w:ascii="仿宋" w:hAnsi="仿宋" w:eastAsia="仿宋" w:cs="仿宋"/>
          <w:bCs/>
          <w:color w:val="0D0D0D"/>
          <w:sz w:val="24"/>
          <w:szCs w:val="24"/>
          <w:lang w:val="zh-CN"/>
        </w:rPr>
        <w:t>开标结束后，采购人或采购代理机构依据法律、法规及招标文件的规定，对投标人的资格进行审查，以确定投标人资格是否合格。</w:t>
      </w:r>
    </w:p>
    <w:p w14:paraId="64F81D4E">
      <w:pPr>
        <w:pStyle w:val="3"/>
        <w:pageBreakBefore w:val="0"/>
        <w:widowControl w:val="0"/>
        <w:numPr>
          <w:ilvl w:val="0"/>
          <w:numId w:val="6"/>
        </w:numPr>
        <w:kinsoku/>
        <w:overflowPunct/>
        <w:topLinePunct w:val="0"/>
        <w:autoSpaceDE/>
        <w:autoSpaceDN/>
        <w:bidi w:val="0"/>
        <w:adjustRightInd/>
        <w:snapToGrid/>
        <w:spacing w:before="0" w:after="0" w:line="360" w:lineRule="auto"/>
        <w:ind w:left="0" w:firstLine="482" w:firstLineChars="200"/>
        <w:textAlignment w:val="auto"/>
        <w:rPr>
          <w:rFonts w:hint="eastAsia" w:ascii="仿宋" w:hAnsi="仿宋" w:eastAsia="仿宋" w:cs="仿宋"/>
          <w:sz w:val="24"/>
          <w:szCs w:val="24"/>
          <w:lang w:val="zh-CN"/>
        </w:rPr>
      </w:pPr>
      <w:bookmarkStart w:id="210" w:name="_Toc3930"/>
      <w:bookmarkStart w:id="211" w:name="_Toc163492894"/>
      <w:r>
        <w:rPr>
          <w:rFonts w:hint="eastAsia" w:ascii="仿宋" w:hAnsi="仿宋" w:eastAsia="仿宋" w:cs="仿宋"/>
          <w:sz w:val="24"/>
          <w:szCs w:val="24"/>
          <w:lang w:val="zh-CN"/>
        </w:rPr>
        <w:t>资格审查程序</w:t>
      </w:r>
      <w:bookmarkEnd w:id="210"/>
      <w:bookmarkEnd w:id="211"/>
    </w:p>
    <w:p w14:paraId="1BD92EF8">
      <w:pPr>
        <w:pStyle w:val="4"/>
        <w:pageBreakBefore w:val="0"/>
        <w:widowControl w:val="0"/>
        <w:numPr>
          <w:ilvl w:val="0"/>
          <w:numId w:val="7"/>
        </w:numPr>
        <w:kinsoku/>
        <w:overflowPunct/>
        <w:topLinePunct w:val="0"/>
        <w:autoSpaceDE/>
        <w:autoSpaceDN/>
        <w:bidi w:val="0"/>
        <w:adjustRightInd/>
        <w:snapToGrid/>
        <w:spacing w:before="0" w:after="0" w:line="360" w:lineRule="auto"/>
        <w:ind w:left="0" w:firstLine="482" w:firstLineChars="200"/>
        <w:jc w:val="left"/>
        <w:textAlignment w:val="auto"/>
        <w:rPr>
          <w:rFonts w:hint="eastAsia" w:ascii="仿宋" w:hAnsi="仿宋" w:eastAsia="仿宋" w:cs="仿宋"/>
          <w:sz w:val="24"/>
          <w:szCs w:val="24"/>
        </w:rPr>
      </w:pPr>
      <w:bookmarkStart w:id="212" w:name="_Toc163492895"/>
      <w:bookmarkStart w:id="213" w:name="_Toc155185898"/>
      <w:r>
        <w:rPr>
          <w:rFonts w:hint="eastAsia" w:ascii="仿宋" w:hAnsi="仿宋" w:eastAsia="仿宋" w:cs="仿宋"/>
          <w:sz w:val="24"/>
          <w:szCs w:val="24"/>
          <w:lang w:val="zh-CN"/>
        </w:rPr>
        <w:t>资格审查</w:t>
      </w:r>
      <w:bookmarkEnd w:id="212"/>
      <w:bookmarkEnd w:id="213"/>
    </w:p>
    <w:p w14:paraId="10DF67E6">
      <w:pPr>
        <w:pageBreakBefore w:val="0"/>
        <w:widowControl w:val="0"/>
        <w:kinsoku/>
        <w:wordWrap w:val="0"/>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zh-CN"/>
        </w:rPr>
      </w:pPr>
      <w:r>
        <w:rPr>
          <w:rFonts w:hint="eastAsia" w:ascii="仿宋" w:hAnsi="仿宋" w:eastAsia="仿宋" w:cs="仿宋"/>
          <w:bCs/>
          <w:sz w:val="24"/>
          <w:szCs w:val="24"/>
          <w:lang w:val="zh-CN"/>
        </w:rPr>
        <w:t>1.开标结束后，采购人或采购代理机构</w:t>
      </w:r>
      <w:r>
        <w:rPr>
          <w:rFonts w:hint="eastAsia" w:ascii="仿宋" w:hAnsi="仿宋" w:eastAsia="仿宋" w:cs="仿宋"/>
          <w:sz w:val="24"/>
          <w:szCs w:val="24"/>
          <w:lang w:val="zh-CN"/>
        </w:rPr>
        <w:t>根据“第一章 投标邀请”中投标人资格要求并按本章“三、资格审查标准”所列的内容，对投标人资格进行审查，不满足资格审查标准要求的按</w:t>
      </w:r>
      <w:r>
        <w:rPr>
          <w:rFonts w:hint="eastAsia" w:ascii="仿宋" w:hAnsi="仿宋" w:eastAsia="仿宋" w:cs="仿宋"/>
          <w:b/>
          <w:sz w:val="24"/>
          <w:szCs w:val="24"/>
          <w:lang w:val="zh-CN"/>
        </w:rPr>
        <w:t>无效投标处理</w:t>
      </w:r>
      <w:r>
        <w:rPr>
          <w:rFonts w:hint="eastAsia" w:ascii="仿宋" w:hAnsi="仿宋" w:eastAsia="仿宋" w:cs="仿宋"/>
          <w:sz w:val="24"/>
          <w:szCs w:val="24"/>
          <w:lang w:val="zh-CN"/>
        </w:rPr>
        <w:t>。</w:t>
      </w:r>
      <w:bookmarkStart w:id="214" w:name="_Toc102116150"/>
      <w:bookmarkStart w:id="215" w:name="_Toc102114918"/>
      <w:bookmarkStart w:id="216" w:name="_Toc102116020"/>
      <w:bookmarkStart w:id="217" w:name="_Toc102057716"/>
      <w:bookmarkStart w:id="218" w:name="_Toc102056216"/>
      <w:bookmarkStart w:id="219" w:name="_Toc102119851"/>
      <w:bookmarkStart w:id="220" w:name="_Toc102056239"/>
      <w:bookmarkStart w:id="221" w:name="_Toc102057739"/>
      <w:bookmarkStart w:id="222" w:name="_Toc102116043"/>
      <w:bookmarkStart w:id="223" w:name="_Toc102119874"/>
      <w:bookmarkStart w:id="224" w:name="_Toc102114941"/>
      <w:bookmarkStart w:id="225" w:name="_Toc102116173"/>
    </w:p>
    <w:bookmarkEnd w:id="214"/>
    <w:bookmarkEnd w:id="215"/>
    <w:bookmarkEnd w:id="216"/>
    <w:bookmarkEnd w:id="217"/>
    <w:bookmarkEnd w:id="218"/>
    <w:bookmarkEnd w:id="219"/>
    <w:p w14:paraId="3CDBE05B">
      <w:pPr>
        <w:pStyle w:val="4"/>
        <w:pageBreakBefore w:val="0"/>
        <w:widowControl w:val="0"/>
        <w:numPr>
          <w:ilvl w:val="0"/>
          <w:numId w:val="7"/>
        </w:numPr>
        <w:kinsoku/>
        <w:overflowPunct/>
        <w:topLinePunct w:val="0"/>
        <w:autoSpaceDE/>
        <w:autoSpaceDN/>
        <w:bidi w:val="0"/>
        <w:adjustRightInd/>
        <w:snapToGrid/>
        <w:spacing w:before="0" w:after="0" w:line="360" w:lineRule="auto"/>
        <w:ind w:left="0" w:firstLine="482" w:firstLineChars="200"/>
        <w:jc w:val="left"/>
        <w:textAlignment w:val="auto"/>
        <w:rPr>
          <w:rFonts w:hint="eastAsia" w:ascii="仿宋" w:hAnsi="仿宋" w:eastAsia="仿宋" w:cs="仿宋"/>
          <w:sz w:val="24"/>
          <w:szCs w:val="24"/>
          <w:lang w:val="zh-CN"/>
        </w:rPr>
      </w:pPr>
      <w:bookmarkStart w:id="226" w:name="_Toc163492896"/>
      <w:bookmarkStart w:id="227" w:name="_Toc155185900"/>
      <w:r>
        <w:rPr>
          <w:rFonts w:hint="eastAsia" w:ascii="仿宋" w:hAnsi="仿宋" w:eastAsia="仿宋" w:cs="仿宋"/>
          <w:sz w:val="24"/>
          <w:szCs w:val="24"/>
          <w:lang w:val="zh-CN"/>
        </w:rPr>
        <w:t>信</w:t>
      </w:r>
      <w:bookmarkStart w:id="228" w:name="_Hlk162301965"/>
      <w:r>
        <w:rPr>
          <w:rFonts w:hint="eastAsia" w:ascii="仿宋" w:hAnsi="仿宋" w:eastAsia="仿宋" w:cs="仿宋"/>
          <w:sz w:val="24"/>
          <w:szCs w:val="24"/>
          <w:lang w:val="zh-CN"/>
        </w:rPr>
        <w:t>用信息核查</w:t>
      </w:r>
      <w:bookmarkEnd w:id="226"/>
      <w:bookmarkEnd w:id="228"/>
    </w:p>
    <w:p w14:paraId="351C6929">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bookmarkStart w:id="229" w:name="_Hlk162301966"/>
      <w:r>
        <w:rPr>
          <w:rFonts w:hint="eastAsia" w:ascii="仿宋" w:hAnsi="仿宋" w:eastAsia="仿宋" w:cs="仿宋"/>
          <w:sz w:val="24"/>
          <w:szCs w:val="24"/>
        </w:rPr>
        <w:t>1.根据《关于在政府采购活动中查询及使用信用记录有关问题的通知》（财库〔2016〕125号）要求，投标人信用信息以“信用中国”网(http://www.creditchina.gov.cn)和中国政府采购网(http://www.ccgp.gov.cn)查询的结果为准。</w:t>
      </w:r>
    </w:p>
    <w:p w14:paraId="41CE77D4">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2.资格审查当日应当核查投标人信用记录，投标人被列入失信被执行人、重大税收违法失信主体、政府采购严重违法失信行为记录名单的，采购代理机构拒绝其参加政府采购活动。</w:t>
      </w:r>
    </w:p>
    <w:p w14:paraId="44CEFC6E">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以联合体形式投标的，应当核查联合体所有成员的信用记录，联合体成员存在不良信用记录的，视同联合体存在不良信用信息。</w:t>
      </w:r>
    </w:p>
    <w:p w14:paraId="2722E33F">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4.资格审查与评标工作未在同日进行的特殊情形下，采购代理机构工作人员在评标时应当对投标人的信用信息进行复核，发现评标当日存在不良信用信息的，由评标委员会按照符合性审查不合格作</w:t>
      </w:r>
      <w:r>
        <w:rPr>
          <w:rFonts w:hint="eastAsia" w:ascii="仿宋" w:hAnsi="仿宋" w:eastAsia="仿宋" w:cs="仿宋"/>
          <w:b/>
          <w:bCs/>
          <w:sz w:val="24"/>
          <w:szCs w:val="24"/>
        </w:rPr>
        <w:t>无效投标</w:t>
      </w:r>
      <w:r>
        <w:rPr>
          <w:rFonts w:hint="eastAsia" w:ascii="仿宋" w:hAnsi="仿宋" w:eastAsia="仿宋" w:cs="仿宋"/>
          <w:sz w:val="24"/>
          <w:szCs w:val="24"/>
        </w:rPr>
        <w:t>处理。</w:t>
      </w:r>
      <w:bookmarkEnd w:id="229"/>
    </w:p>
    <w:p w14:paraId="4B2A15A8">
      <w:pPr>
        <w:pStyle w:val="4"/>
        <w:pageBreakBefore w:val="0"/>
        <w:widowControl w:val="0"/>
        <w:numPr>
          <w:ilvl w:val="0"/>
          <w:numId w:val="7"/>
        </w:numPr>
        <w:kinsoku/>
        <w:overflowPunct/>
        <w:topLinePunct w:val="0"/>
        <w:autoSpaceDE/>
        <w:autoSpaceDN/>
        <w:bidi w:val="0"/>
        <w:adjustRightInd/>
        <w:snapToGrid/>
        <w:spacing w:before="0" w:after="0" w:line="360" w:lineRule="auto"/>
        <w:ind w:left="0" w:firstLine="482" w:firstLineChars="200"/>
        <w:jc w:val="left"/>
        <w:textAlignment w:val="auto"/>
        <w:rPr>
          <w:rFonts w:hint="eastAsia" w:ascii="仿宋" w:hAnsi="仿宋" w:eastAsia="仿宋" w:cs="仿宋"/>
          <w:sz w:val="24"/>
          <w:szCs w:val="24"/>
          <w:lang w:val="zh-CN"/>
        </w:rPr>
      </w:pPr>
      <w:bookmarkStart w:id="230" w:name="_Toc163492897"/>
      <w:r>
        <w:rPr>
          <w:rFonts w:hint="eastAsia" w:ascii="仿宋" w:hAnsi="仿宋" w:eastAsia="仿宋" w:cs="仿宋"/>
          <w:sz w:val="24"/>
          <w:szCs w:val="24"/>
          <w:lang w:val="zh-CN"/>
        </w:rPr>
        <w:t>资格审查</w:t>
      </w:r>
      <w:bookmarkEnd w:id="220"/>
      <w:bookmarkEnd w:id="221"/>
      <w:bookmarkEnd w:id="222"/>
      <w:bookmarkEnd w:id="223"/>
      <w:bookmarkEnd w:id="224"/>
      <w:bookmarkEnd w:id="225"/>
      <w:r>
        <w:rPr>
          <w:rFonts w:hint="eastAsia" w:ascii="仿宋" w:hAnsi="仿宋" w:eastAsia="仿宋" w:cs="仿宋"/>
          <w:sz w:val="24"/>
          <w:szCs w:val="24"/>
          <w:lang w:val="zh-CN"/>
        </w:rPr>
        <w:t>结果</w:t>
      </w:r>
      <w:bookmarkEnd w:id="227"/>
      <w:bookmarkEnd w:id="230"/>
    </w:p>
    <w:p w14:paraId="61DA065A">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1.根据资格审查的情况，确定资格审查合格的投标人，并形成资格审查结果。</w:t>
      </w:r>
    </w:p>
    <w:p w14:paraId="25C785C9">
      <w:pPr>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2.资格审查合格投标人不足3家的，不得评标，应予以</w:t>
      </w:r>
      <w:r>
        <w:rPr>
          <w:rFonts w:hint="eastAsia" w:ascii="仿宋" w:hAnsi="仿宋" w:eastAsia="仿宋" w:cs="仿宋"/>
          <w:b/>
          <w:bCs/>
          <w:sz w:val="24"/>
          <w:szCs w:val="24"/>
        </w:rPr>
        <w:t>废标</w:t>
      </w:r>
      <w:r>
        <w:rPr>
          <w:rFonts w:hint="eastAsia" w:ascii="仿宋" w:hAnsi="仿宋" w:eastAsia="仿宋" w:cs="仿宋"/>
          <w:sz w:val="24"/>
          <w:szCs w:val="24"/>
        </w:rPr>
        <w:t>。</w:t>
      </w:r>
    </w:p>
    <w:p w14:paraId="4F993DF7">
      <w:pPr>
        <w:pStyle w:val="3"/>
        <w:pageBreakBefore w:val="0"/>
        <w:widowControl w:val="0"/>
        <w:numPr>
          <w:ilvl w:val="0"/>
          <w:numId w:val="6"/>
        </w:numPr>
        <w:kinsoku/>
        <w:overflowPunct/>
        <w:topLinePunct w:val="0"/>
        <w:autoSpaceDE/>
        <w:autoSpaceDN/>
        <w:bidi w:val="0"/>
        <w:adjustRightInd/>
        <w:snapToGrid/>
        <w:spacing w:before="0" w:after="0" w:line="360" w:lineRule="auto"/>
        <w:ind w:left="0" w:firstLine="482" w:firstLineChars="200"/>
        <w:textAlignment w:val="auto"/>
        <w:rPr>
          <w:rFonts w:hint="eastAsia" w:ascii="仿宋" w:hAnsi="仿宋" w:eastAsia="仿宋" w:cs="仿宋"/>
          <w:sz w:val="24"/>
          <w:szCs w:val="24"/>
          <w:lang w:val="zh-CN"/>
        </w:rPr>
      </w:pPr>
      <w:bookmarkStart w:id="231" w:name="_Toc19793"/>
      <w:r>
        <w:rPr>
          <w:rFonts w:hint="eastAsia" w:ascii="仿宋" w:hAnsi="仿宋" w:eastAsia="仿宋" w:cs="仿宋"/>
          <w:sz w:val="24"/>
          <w:szCs w:val="24"/>
          <w:lang w:val="zh-CN"/>
        </w:rPr>
        <w:t>资格审查</w:t>
      </w:r>
      <w:r>
        <w:rPr>
          <w:rFonts w:hint="eastAsia" w:ascii="仿宋" w:hAnsi="仿宋" w:eastAsia="仿宋" w:cs="仿宋"/>
          <w:sz w:val="24"/>
          <w:szCs w:val="24"/>
          <w:lang w:val="en-US" w:eastAsia="zh-CN"/>
        </w:rPr>
        <w:t>标准</w:t>
      </w:r>
      <w:bookmarkEnd w:id="231"/>
    </w:p>
    <w:tbl>
      <w:tblPr>
        <w:tblStyle w:val="49"/>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24"/>
        <w:gridCol w:w="1090"/>
        <w:gridCol w:w="2470"/>
        <w:gridCol w:w="4021"/>
      </w:tblGrid>
      <w:tr w14:paraId="4741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shd w:val="clear" w:color="auto" w:fill="BEBEBE"/>
            <w:vAlign w:val="center"/>
          </w:tcPr>
          <w:p w14:paraId="22ED1574">
            <w:pPr>
              <w:widowControl/>
              <w:adjustRightInd w:val="0"/>
              <w:snapToGrid w:val="0"/>
              <w:spacing w:line="40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2092" w:type="pct"/>
            <w:gridSpan w:val="2"/>
            <w:shd w:val="clear" w:color="auto" w:fill="BEBEBE"/>
            <w:vAlign w:val="center"/>
          </w:tcPr>
          <w:p w14:paraId="1C8C24E7">
            <w:pPr>
              <w:adjustRightInd w:val="0"/>
              <w:snapToGrid w:val="0"/>
              <w:spacing w:line="40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资格要求</w:t>
            </w:r>
          </w:p>
        </w:tc>
        <w:tc>
          <w:tcPr>
            <w:tcW w:w="2363" w:type="pct"/>
            <w:shd w:val="clear" w:color="auto" w:fill="BEBEBE"/>
            <w:vAlign w:val="center"/>
          </w:tcPr>
          <w:p w14:paraId="004AF427">
            <w:pPr>
              <w:widowControl/>
              <w:adjustRightInd w:val="0"/>
              <w:snapToGrid w:val="0"/>
              <w:spacing w:line="400" w:lineRule="exact"/>
              <w:jc w:val="center"/>
              <w:rPr>
                <w:rFonts w:hint="default" w:ascii="仿宋" w:hAnsi="仿宋" w:eastAsia="仿宋" w:cs="仿宋"/>
                <w:b/>
                <w:bCs/>
                <w:color w:val="000000"/>
                <w:kern w:val="0"/>
                <w:sz w:val="24"/>
                <w:lang w:val="en-US" w:eastAsia="zh-CN"/>
              </w:rPr>
            </w:pPr>
            <w:r>
              <w:rPr>
                <w:rFonts w:hint="eastAsia" w:ascii="仿宋" w:hAnsi="仿宋" w:eastAsia="仿宋" w:cs="仿宋"/>
                <w:b/>
                <w:bCs/>
                <w:color w:val="000000"/>
                <w:kern w:val="0"/>
                <w:sz w:val="24"/>
                <w:lang w:val="en-US" w:eastAsia="zh-CN"/>
              </w:rPr>
              <w:t>审查内容</w:t>
            </w:r>
          </w:p>
        </w:tc>
      </w:tr>
      <w:tr w14:paraId="04E5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vMerge w:val="restart"/>
            <w:vAlign w:val="center"/>
          </w:tcPr>
          <w:p w14:paraId="4FF2D53B">
            <w:pPr>
              <w:spacing w:line="400" w:lineRule="exact"/>
              <w:jc w:val="center"/>
              <w:rPr>
                <w:rFonts w:ascii="仿宋" w:hAnsi="仿宋" w:eastAsia="仿宋" w:cs="仿宋"/>
              </w:rPr>
            </w:pPr>
            <w:r>
              <w:rPr>
                <w:rFonts w:hint="eastAsia" w:ascii="仿宋" w:hAnsi="仿宋" w:eastAsia="仿宋" w:cs="仿宋"/>
              </w:rPr>
              <w:t>1</w:t>
            </w:r>
          </w:p>
        </w:tc>
        <w:tc>
          <w:tcPr>
            <w:tcW w:w="640" w:type="pct"/>
            <w:vMerge w:val="restart"/>
            <w:vAlign w:val="center"/>
          </w:tcPr>
          <w:p w14:paraId="1AA21594">
            <w:pPr>
              <w:snapToGrid w:val="0"/>
              <w:spacing w:line="400" w:lineRule="exact"/>
              <w:rPr>
                <w:rFonts w:ascii="仿宋" w:hAnsi="仿宋" w:eastAsia="仿宋" w:cs="仿宋"/>
                <w:color w:val="000000"/>
                <w:sz w:val="24"/>
                <w:lang w:val="hr-HR"/>
              </w:rPr>
            </w:pPr>
            <w:r>
              <w:rPr>
                <w:rFonts w:hint="eastAsia" w:ascii="仿宋" w:hAnsi="仿宋" w:eastAsia="仿宋" w:cs="仿宋"/>
                <w:color w:val="000000"/>
                <w:sz w:val="24"/>
                <w:lang w:val="hr-HR"/>
              </w:rPr>
              <w:t>“投标人资格要求”第（一）款的规定</w:t>
            </w:r>
          </w:p>
        </w:tc>
        <w:tc>
          <w:tcPr>
            <w:tcW w:w="1452" w:type="pct"/>
            <w:vAlign w:val="center"/>
          </w:tcPr>
          <w:p w14:paraId="3541028F">
            <w:pPr>
              <w:snapToGrid w:val="0"/>
              <w:spacing w:line="400" w:lineRule="exact"/>
              <w:rPr>
                <w:rFonts w:ascii="仿宋" w:hAnsi="仿宋" w:eastAsia="仿宋" w:cs="仿宋"/>
                <w:color w:val="000000"/>
                <w:sz w:val="24"/>
                <w:lang w:val="hr-HR"/>
              </w:rPr>
            </w:pPr>
            <w:r>
              <w:rPr>
                <w:rFonts w:hint="eastAsia" w:ascii="仿宋" w:hAnsi="仿宋" w:eastAsia="仿宋" w:cs="仿宋"/>
                <w:color w:val="000000"/>
                <w:sz w:val="24"/>
                <w:lang w:val="hr-HR"/>
              </w:rPr>
              <w:t>具有独立承担民事责任的能力</w:t>
            </w:r>
          </w:p>
        </w:tc>
        <w:tc>
          <w:tcPr>
            <w:tcW w:w="2363" w:type="pct"/>
            <w:vAlign w:val="center"/>
          </w:tcPr>
          <w:p w14:paraId="1FE734E5">
            <w:pPr>
              <w:autoSpaceDE w:val="0"/>
              <w:autoSpaceDN w:val="0"/>
              <w:adjustRightInd w:val="0"/>
              <w:spacing w:line="400" w:lineRule="exact"/>
              <w:jc w:val="left"/>
              <w:rPr>
                <w:rFonts w:ascii="仿宋" w:hAnsi="仿宋" w:eastAsia="仿宋" w:cs="仿宋"/>
                <w:bCs/>
                <w:color w:val="000000"/>
                <w:sz w:val="24"/>
              </w:rPr>
            </w:pPr>
            <w:r>
              <w:rPr>
                <w:rFonts w:hint="eastAsia" w:ascii="仿宋" w:hAnsi="仿宋" w:eastAsia="仿宋" w:cs="仿宋"/>
                <w:bCs/>
                <w:color w:val="000000"/>
                <w:sz w:val="24"/>
              </w:rPr>
              <w:t>1.投标人为企业的，提供有效的营业执照复印件；</w:t>
            </w:r>
          </w:p>
          <w:p w14:paraId="4D471F2B">
            <w:pPr>
              <w:autoSpaceDE w:val="0"/>
              <w:autoSpaceDN w:val="0"/>
              <w:adjustRightInd w:val="0"/>
              <w:spacing w:line="400" w:lineRule="exact"/>
              <w:jc w:val="left"/>
              <w:rPr>
                <w:rFonts w:ascii="仿宋" w:hAnsi="仿宋" w:eastAsia="仿宋" w:cs="仿宋"/>
                <w:bCs/>
                <w:color w:val="000000"/>
                <w:sz w:val="24"/>
              </w:rPr>
            </w:pPr>
            <w:r>
              <w:rPr>
                <w:rFonts w:hint="eastAsia" w:ascii="仿宋" w:hAnsi="仿宋" w:eastAsia="仿宋" w:cs="仿宋"/>
                <w:bCs/>
                <w:color w:val="000000"/>
                <w:sz w:val="24"/>
              </w:rPr>
              <w:t>2.投标人为事业单位的，提供有效的事业单位法人证书复印件；</w:t>
            </w:r>
          </w:p>
          <w:p w14:paraId="1EAA7535">
            <w:pPr>
              <w:autoSpaceDE w:val="0"/>
              <w:autoSpaceDN w:val="0"/>
              <w:adjustRightInd w:val="0"/>
              <w:spacing w:line="400" w:lineRule="exact"/>
              <w:jc w:val="left"/>
              <w:rPr>
                <w:rFonts w:ascii="仿宋" w:hAnsi="仿宋" w:eastAsia="仿宋" w:cs="仿宋"/>
                <w:bCs/>
                <w:color w:val="000000"/>
                <w:sz w:val="24"/>
              </w:rPr>
            </w:pPr>
            <w:r>
              <w:rPr>
                <w:rFonts w:hint="eastAsia" w:ascii="仿宋" w:hAnsi="仿宋" w:eastAsia="仿宋" w:cs="仿宋"/>
                <w:bCs/>
                <w:color w:val="000000"/>
                <w:sz w:val="24"/>
              </w:rPr>
              <w:t>3.投标人为社会团体的，提供有效的社会团体法人登记证书复印件；</w:t>
            </w:r>
          </w:p>
          <w:p w14:paraId="343DFBBC">
            <w:pPr>
              <w:autoSpaceDE w:val="0"/>
              <w:autoSpaceDN w:val="0"/>
              <w:adjustRightInd w:val="0"/>
              <w:spacing w:line="400" w:lineRule="exact"/>
              <w:jc w:val="left"/>
              <w:rPr>
                <w:rFonts w:ascii="仿宋" w:hAnsi="仿宋" w:eastAsia="仿宋" w:cs="仿宋"/>
                <w:bCs/>
                <w:color w:val="000000"/>
                <w:sz w:val="24"/>
              </w:rPr>
            </w:pPr>
            <w:r>
              <w:rPr>
                <w:rFonts w:hint="eastAsia" w:ascii="仿宋" w:hAnsi="仿宋" w:eastAsia="仿宋" w:cs="仿宋"/>
                <w:bCs/>
                <w:color w:val="000000"/>
                <w:sz w:val="24"/>
              </w:rPr>
              <w:t>4.投标人为合伙企业、个体工商户的，提供有效的营业执照复印件；</w:t>
            </w:r>
          </w:p>
          <w:p w14:paraId="3F57CB5C">
            <w:pPr>
              <w:autoSpaceDE w:val="0"/>
              <w:autoSpaceDN w:val="0"/>
              <w:adjustRightInd w:val="0"/>
              <w:spacing w:line="400" w:lineRule="exact"/>
              <w:jc w:val="left"/>
              <w:rPr>
                <w:rFonts w:ascii="仿宋" w:hAnsi="仿宋" w:eastAsia="仿宋" w:cs="仿宋"/>
                <w:bCs/>
                <w:color w:val="000000"/>
                <w:sz w:val="24"/>
              </w:rPr>
            </w:pPr>
            <w:r>
              <w:rPr>
                <w:rFonts w:hint="eastAsia" w:ascii="仿宋" w:hAnsi="仿宋" w:eastAsia="仿宋" w:cs="仿宋"/>
                <w:bCs/>
                <w:color w:val="000000"/>
                <w:sz w:val="24"/>
              </w:rPr>
              <w:t>5.投标人为非企业专业服务机构的，提供有效的执业许可证等证明材料复印件；</w:t>
            </w:r>
          </w:p>
          <w:p w14:paraId="72A5306C">
            <w:pPr>
              <w:autoSpaceDE w:val="0"/>
              <w:autoSpaceDN w:val="0"/>
              <w:adjustRightInd w:val="0"/>
              <w:spacing w:line="400" w:lineRule="exact"/>
              <w:jc w:val="left"/>
              <w:rPr>
                <w:rFonts w:ascii="仿宋" w:hAnsi="仿宋" w:eastAsia="仿宋" w:cs="仿宋"/>
                <w:bCs/>
                <w:color w:val="000000"/>
                <w:sz w:val="24"/>
              </w:rPr>
            </w:pPr>
            <w:r>
              <w:rPr>
                <w:rFonts w:hint="eastAsia" w:ascii="仿宋" w:hAnsi="仿宋" w:eastAsia="仿宋" w:cs="仿宋"/>
                <w:bCs/>
                <w:color w:val="000000"/>
                <w:sz w:val="24"/>
              </w:rPr>
              <w:t>6.投标人为自然人的，提供有效的自然人身份证件复印件（仅限中国公民）；</w:t>
            </w:r>
          </w:p>
          <w:p w14:paraId="4DA667E5">
            <w:pPr>
              <w:autoSpaceDE w:val="0"/>
              <w:autoSpaceDN w:val="0"/>
              <w:adjustRightInd w:val="0"/>
              <w:spacing w:line="400" w:lineRule="exact"/>
              <w:jc w:val="left"/>
              <w:rPr>
                <w:rFonts w:ascii="仿宋" w:hAnsi="仿宋" w:eastAsia="仿宋" w:cs="仿宋"/>
                <w:bCs/>
                <w:color w:val="000000"/>
                <w:sz w:val="24"/>
              </w:rPr>
            </w:pPr>
            <w:r>
              <w:rPr>
                <w:rFonts w:hint="eastAsia" w:ascii="仿宋" w:hAnsi="仿宋" w:eastAsia="仿宋" w:cs="仿宋"/>
                <w:bCs/>
                <w:color w:val="000000"/>
                <w:sz w:val="24"/>
              </w:rPr>
              <w:t>7.其他投标人应按照有关法律、法规和规章规定，提供有效的相应具体证照复印件。</w:t>
            </w:r>
          </w:p>
        </w:tc>
      </w:tr>
      <w:tr w14:paraId="2B1B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vMerge w:val="continue"/>
            <w:vAlign w:val="center"/>
          </w:tcPr>
          <w:p w14:paraId="055552B3">
            <w:pPr>
              <w:widowControl/>
              <w:adjustRightInd w:val="0"/>
              <w:snapToGrid w:val="0"/>
              <w:spacing w:line="400" w:lineRule="exact"/>
              <w:rPr>
                <w:rFonts w:ascii="仿宋" w:hAnsi="仿宋" w:eastAsia="仿宋" w:cs="仿宋"/>
                <w:color w:val="000000"/>
                <w:kern w:val="0"/>
                <w:sz w:val="24"/>
              </w:rPr>
            </w:pPr>
          </w:p>
        </w:tc>
        <w:tc>
          <w:tcPr>
            <w:tcW w:w="640" w:type="pct"/>
            <w:vMerge w:val="continue"/>
            <w:vAlign w:val="center"/>
          </w:tcPr>
          <w:p w14:paraId="78D5094A">
            <w:pPr>
              <w:widowControl/>
              <w:adjustRightInd w:val="0"/>
              <w:snapToGrid w:val="0"/>
              <w:spacing w:line="400" w:lineRule="exact"/>
              <w:rPr>
                <w:rFonts w:ascii="仿宋" w:hAnsi="仿宋" w:eastAsia="仿宋" w:cs="仿宋"/>
                <w:color w:val="000000"/>
                <w:kern w:val="0"/>
                <w:sz w:val="24"/>
              </w:rPr>
            </w:pPr>
          </w:p>
        </w:tc>
        <w:tc>
          <w:tcPr>
            <w:tcW w:w="1452" w:type="pct"/>
            <w:vAlign w:val="center"/>
          </w:tcPr>
          <w:p w14:paraId="5737A376">
            <w:pPr>
              <w:widowControl/>
              <w:adjustRightInd w:val="0"/>
              <w:snapToGrid w:val="0"/>
              <w:spacing w:line="400" w:lineRule="exact"/>
              <w:rPr>
                <w:rFonts w:ascii="仿宋" w:hAnsi="仿宋" w:eastAsia="仿宋" w:cs="仿宋"/>
                <w:color w:val="000000"/>
                <w:kern w:val="0"/>
                <w:sz w:val="24"/>
              </w:rPr>
            </w:pPr>
            <w:r>
              <w:rPr>
                <w:rFonts w:hint="eastAsia" w:ascii="仿宋" w:hAnsi="仿宋" w:eastAsia="仿宋" w:cs="仿宋"/>
                <w:color w:val="000000"/>
                <w:sz w:val="24"/>
                <w:lang w:val="hr-HR"/>
              </w:rPr>
              <w:t>具有良好的商业信誉和健全的财务会计制度</w:t>
            </w:r>
          </w:p>
        </w:tc>
        <w:tc>
          <w:tcPr>
            <w:tcW w:w="2363" w:type="pct"/>
            <w:vAlign w:val="center"/>
          </w:tcPr>
          <w:p w14:paraId="6521931D">
            <w:pPr>
              <w:snapToGrid w:val="0"/>
              <w:spacing w:line="400" w:lineRule="exact"/>
              <w:rPr>
                <w:rFonts w:ascii="仿宋" w:hAnsi="仿宋" w:eastAsia="仿宋" w:cs="仿宋"/>
                <w:bCs/>
                <w:color w:val="000000"/>
                <w:sz w:val="24"/>
              </w:rPr>
            </w:pPr>
            <w:r>
              <w:rPr>
                <w:rFonts w:hint="eastAsia" w:ascii="仿宋" w:hAnsi="仿宋" w:eastAsia="仿宋" w:cs="仿宋"/>
                <w:bCs/>
                <w:color w:val="000000"/>
                <w:sz w:val="24"/>
                <w:lang w:val="hr-HR"/>
              </w:rPr>
              <w:t>具有良好的商业信誉和健全的财务会计制度，且经营期间财务状况无不良信用记录的声明函。</w:t>
            </w:r>
          </w:p>
        </w:tc>
      </w:tr>
      <w:tr w14:paraId="49CF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vMerge w:val="continue"/>
            <w:vAlign w:val="center"/>
          </w:tcPr>
          <w:p w14:paraId="4D8E9130">
            <w:pPr>
              <w:widowControl/>
              <w:adjustRightInd w:val="0"/>
              <w:snapToGrid w:val="0"/>
              <w:spacing w:line="400" w:lineRule="exact"/>
              <w:rPr>
                <w:rFonts w:ascii="仿宋" w:hAnsi="仿宋" w:eastAsia="仿宋" w:cs="仿宋"/>
                <w:color w:val="000000"/>
                <w:kern w:val="0"/>
                <w:sz w:val="24"/>
              </w:rPr>
            </w:pPr>
          </w:p>
        </w:tc>
        <w:tc>
          <w:tcPr>
            <w:tcW w:w="640" w:type="pct"/>
            <w:vMerge w:val="continue"/>
            <w:vAlign w:val="center"/>
          </w:tcPr>
          <w:p w14:paraId="7F50D9EF">
            <w:pPr>
              <w:widowControl/>
              <w:adjustRightInd w:val="0"/>
              <w:snapToGrid w:val="0"/>
              <w:spacing w:line="400" w:lineRule="exact"/>
              <w:rPr>
                <w:rFonts w:ascii="仿宋" w:hAnsi="仿宋" w:eastAsia="仿宋" w:cs="仿宋"/>
                <w:color w:val="000000"/>
                <w:sz w:val="24"/>
                <w:lang w:val="hr-HR"/>
              </w:rPr>
            </w:pPr>
          </w:p>
        </w:tc>
        <w:tc>
          <w:tcPr>
            <w:tcW w:w="1452" w:type="pct"/>
            <w:vAlign w:val="center"/>
          </w:tcPr>
          <w:p w14:paraId="41A6A1ED">
            <w:pPr>
              <w:widowControl/>
              <w:adjustRightInd w:val="0"/>
              <w:snapToGrid w:val="0"/>
              <w:spacing w:line="400" w:lineRule="exact"/>
              <w:rPr>
                <w:rFonts w:ascii="仿宋" w:hAnsi="仿宋" w:eastAsia="仿宋" w:cs="仿宋"/>
                <w:color w:val="000000"/>
                <w:sz w:val="24"/>
                <w:lang w:val="hr-HR"/>
              </w:rPr>
            </w:pPr>
            <w:r>
              <w:rPr>
                <w:rFonts w:hint="eastAsia" w:ascii="仿宋" w:hAnsi="仿宋" w:eastAsia="仿宋" w:cs="仿宋"/>
                <w:color w:val="000000"/>
                <w:sz w:val="24"/>
                <w:lang w:val="hr-HR"/>
              </w:rPr>
              <w:t>具有履行合同所必需的设备和专业技术能力</w:t>
            </w:r>
          </w:p>
        </w:tc>
        <w:tc>
          <w:tcPr>
            <w:tcW w:w="2363" w:type="pct"/>
            <w:vAlign w:val="center"/>
          </w:tcPr>
          <w:p w14:paraId="3022539D">
            <w:pPr>
              <w:snapToGrid w:val="0"/>
              <w:spacing w:line="400" w:lineRule="exact"/>
              <w:rPr>
                <w:rFonts w:ascii="仿宋" w:hAnsi="仿宋" w:eastAsia="仿宋" w:cs="仿宋"/>
                <w:bCs/>
                <w:color w:val="000000"/>
                <w:sz w:val="24"/>
              </w:rPr>
            </w:pPr>
            <w:r>
              <w:rPr>
                <w:rFonts w:hint="eastAsia" w:ascii="仿宋" w:hAnsi="仿宋" w:eastAsia="仿宋" w:cs="仿宋"/>
                <w:bCs/>
                <w:color w:val="000000"/>
                <w:sz w:val="24"/>
              </w:rPr>
              <w:t>投标人履行合同所必须的设备和专业技术能力的证明材料或承诺。</w:t>
            </w:r>
          </w:p>
        </w:tc>
      </w:tr>
      <w:tr w14:paraId="3D7B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vMerge w:val="continue"/>
            <w:vAlign w:val="center"/>
          </w:tcPr>
          <w:p w14:paraId="61B3C9B3">
            <w:pPr>
              <w:widowControl/>
              <w:adjustRightInd w:val="0"/>
              <w:snapToGrid w:val="0"/>
              <w:spacing w:line="400" w:lineRule="exact"/>
              <w:rPr>
                <w:rFonts w:ascii="仿宋" w:hAnsi="仿宋" w:eastAsia="仿宋" w:cs="仿宋"/>
                <w:color w:val="000000"/>
                <w:kern w:val="0"/>
                <w:sz w:val="24"/>
              </w:rPr>
            </w:pPr>
          </w:p>
        </w:tc>
        <w:tc>
          <w:tcPr>
            <w:tcW w:w="640" w:type="pct"/>
            <w:vMerge w:val="continue"/>
            <w:vAlign w:val="center"/>
          </w:tcPr>
          <w:p w14:paraId="262FE17E">
            <w:pPr>
              <w:widowControl/>
              <w:adjustRightInd w:val="0"/>
              <w:snapToGrid w:val="0"/>
              <w:spacing w:line="400" w:lineRule="exact"/>
              <w:rPr>
                <w:rFonts w:ascii="仿宋" w:hAnsi="仿宋" w:eastAsia="仿宋" w:cs="仿宋"/>
                <w:color w:val="000000"/>
                <w:sz w:val="24"/>
                <w:lang w:val="hr-HR"/>
              </w:rPr>
            </w:pPr>
          </w:p>
        </w:tc>
        <w:tc>
          <w:tcPr>
            <w:tcW w:w="1452" w:type="pct"/>
            <w:vAlign w:val="center"/>
          </w:tcPr>
          <w:p w14:paraId="32BC34B0">
            <w:pPr>
              <w:widowControl/>
              <w:adjustRightInd w:val="0"/>
              <w:snapToGrid w:val="0"/>
              <w:spacing w:line="400" w:lineRule="exact"/>
              <w:rPr>
                <w:rFonts w:ascii="仿宋" w:hAnsi="仿宋" w:eastAsia="仿宋" w:cs="仿宋"/>
                <w:color w:val="000000"/>
                <w:sz w:val="24"/>
                <w:lang w:val="hr-HR"/>
              </w:rPr>
            </w:pPr>
            <w:r>
              <w:rPr>
                <w:rFonts w:hint="eastAsia" w:ascii="仿宋" w:hAnsi="仿宋" w:eastAsia="仿宋" w:cs="仿宋"/>
                <w:color w:val="000000"/>
                <w:sz w:val="24"/>
                <w:lang w:val="hr-HR"/>
              </w:rPr>
              <w:t>有依法缴纳税收的良好记录</w:t>
            </w:r>
          </w:p>
        </w:tc>
        <w:tc>
          <w:tcPr>
            <w:tcW w:w="2363" w:type="pct"/>
            <w:vAlign w:val="center"/>
          </w:tcPr>
          <w:p w14:paraId="094C7D5B">
            <w:pPr>
              <w:autoSpaceDE w:val="0"/>
              <w:autoSpaceDN w:val="0"/>
              <w:adjustRightInd w:val="0"/>
              <w:spacing w:line="400" w:lineRule="exact"/>
              <w:jc w:val="left"/>
              <w:rPr>
                <w:rFonts w:ascii="仿宋" w:hAnsi="仿宋" w:eastAsia="仿宋" w:cs="仿宋"/>
                <w:color w:val="000000"/>
                <w:kern w:val="0"/>
                <w:szCs w:val="21"/>
              </w:rPr>
            </w:pPr>
            <w:r>
              <w:rPr>
                <w:rFonts w:hint="eastAsia" w:ascii="仿宋" w:hAnsi="仿宋" w:eastAsia="仿宋" w:cs="仿宋"/>
                <w:bCs/>
                <w:color w:val="000000"/>
                <w:sz w:val="24"/>
                <w:lang w:val="hr-HR"/>
              </w:rPr>
              <w:t>投标人在公司经营存续期间无任何纳税等方面失信记录的声明函。</w:t>
            </w:r>
          </w:p>
        </w:tc>
      </w:tr>
      <w:tr w14:paraId="157E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vMerge w:val="continue"/>
            <w:vAlign w:val="center"/>
          </w:tcPr>
          <w:p w14:paraId="04D0F2F8">
            <w:pPr>
              <w:widowControl/>
              <w:adjustRightInd w:val="0"/>
              <w:snapToGrid w:val="0"/>
              <w:spacing w:line="400" w:lineRule="exact"/>
              <w:rPr>
                <w:rFonts w:ascii="仿宋" w:hAnsi="仿宋" w:eastAsia="仿宋" w:cs="仿宋"/>
                <w:color w:val="000000"/>
                <w:kern w:val="0"/>
                <w:sz w:val="24"/>
              </w:rPr>
            </w:pPr>
          </w:p>
        </w:tc>
        <w:tc>
          <w:tcPr>
            <w:tcW w:w="640" w:type="pct"/>
            <w:vMerge w:val="continue"/>
            <w:vAlign w:val="center"/>
          </w:tcPr>
          <w:p w14:paraId="0D6DF949">
            <w:pPr>
              <w:widowControl/>
              <w:adjustRightInd w:val="0"/>
              <w:snapToGrid w:val="0"/>
              <w:spacing w:line="400" w:lineRule="exact"/>
              <w:rPr>
                <w:rFonts w:ascii="仿宋" w:hAnsi="仿宋" w:eastAsia="仿宋" w:cs="仿宋"/>
                <w:color w:val="000000"/>
                <w:sz w:val="24"/>
                <w:lang w:val="hr-HR"/>
              </w:rPr>
            </w:pPr>
          </w:p>
        </w:tc>
        <w:tc>
          <w:tcPr>
            <w:tcW w:w="1452" w:type="pct"/>
            <w:vAlign w:val="center"/>
          </w:tcPr>
          <w:p w14:paraId="3CC443FC">
            <w:pPr>
              <w:widowControl/>
              <w:adjustRightInd w:val="0"/>
              <w:snapToGrid w:val="0"/>
              <w:spacing w:line="400" w:lineRule="exact"/>
              <w:rPr>
                <w:rFonts w:ascii="仿宋" w:hAnsi="仿宋" w:eastAsia="仿宋" w:cs="仿宋"/>
                <w:color w:val="000000"/>
                <w:sz w:val="24"/>
                <w:lang w:val="hr-HR"/>
              </w:rPr>
            </w:pPr>
            <w:r>
              <w:rPr>
                <w:rFonts w:hint="eastAsia" w:ascii="仿宋" w:hAnsi="仿宋" w:eastAsia="仿宋" w:cs="仿宋"/>
                <w:color w:val="000000"/>
                <w:sz w:val="24"/>
                <w:lang w:val="hr-HR"/>
              </w:rPr>
              <w:t>有依法缴纳社会保障资金的良好记录</w:t>
            </w:r>
          </w:p>
        </w:tc>
        <w:tc>
          <w:tcPr>
            <w:tcW w:w="2363" w:type="pct"/>
            <w:vAlign w:val="center"/>
          </w:tcPr>
          <w:p w14:paraId="1321B482">
            <w:pPr>
              <w:widowControl/>
              <w:adjustRightInd w:val="0"/>
              <w:snapToGrid w:val="0"/>
              <w:spacing w:line="400" w:lineRule="exact"/>
              <w:rPr>
                <w:rFonts w:ascii="仿宋" w:hAnsi="仿宋" w:eastAsia="仿宋" w:cs="仿宋"/>
                <w:color w:val="000000"/>
                <w:kern w:val="0"/>
                <w:szCs w:val="21"/>
              </w:rPr>
            </w:pPr>
            <w:r>
              <w:rPr>
                <w:rFonts w:hint="eastAsia" w:ascii="仿宋" w:hAnsi="仿宋" w:eastAsia="仿宋" w:cs="仿宋"/>
                <w:bCs/>
                <w:color w:val="000000"/>
                <w:sz w:val="24"/>
                <w:lang w:val="hr-HR"/>
              </w:rPr>
              <w:t>投标人在公司经营存续期间无任何社保等方面失信记录的声明函。</w:t>
            </w:r>
          </w:p>
        </w:tc>
      </w:tr>
      <w:tr w14:paraId="45F4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vMerge w:val="continue"/>
            <w:vAlign w:val="center"/>
          </w:tcPr>
          <w:p w14:paraId="3CF429B6">
            <w:pPr>
              <w:widowControl/>
              <w:adjustRightInd w:val="0"/>
              <w:snapToGrid w:val="0"/>
              <w:spacing w:line="400" w:lineRule="exact"/>
              <w:rPr>
                <w:rFonts w:ascii="仿宋" w:hAnsi="仿宋" w:eastAsia="仿宋" w:cs="仿宋"/>
                <w:color w:val="000000"/>
                <w:kern w:val="0"/>
                <w:sz w:val="24"/>
              </w:rPr>
            </w:pPr>
          </w:p>
        </w:tc>
        <w:tc>
          <w:tcPr>
            <w:tcW w:w="640" w:type="pct"/>
            <w:vMerge w:val="continue"/>
            <w:vAlign w:val="center"/>
          </w:tcPr>
          <w:p w14:paraId="242C3B1E">
            <w:pPr>
              <w:widowControl/>
              <w:adjustRightInd w:val="0"/>
              <w:snapToGrid w:val="0"/>
              <w:spacing w:line="400" w:lineRule="exact"/>
              <w:rPr>
                <w:rFonts w:ascii="仿宋" w:hAnsi="仿宋" w:eastAsia="仿宋" w:cs="仿宋"/>
                <w:color w:val="000000"/>
                <w:sz w:val="24"/>
                <w:lang w:val="hr-HR"/>
              </w:rPr>
            </w:pPr>
          </w:p>
        </w:tc>
        <w:tc>
          <w:tcPr>
            <w:tcW w:w="1452" w:type="pct"/>
            <w:vAlign w:val="center"/>
          </w:tcPr>
          <w:p w14:paraId="3E93E178">
            <w:pPr>
              <w:widowControl/>
              <w:adjustRightInd w:val="0"/>
              <w:snapToGrid w:val="0"/>
              <w:spacing w:line="400" w:lineRule="exact"/>
              <w:rPr>
                <w:rFonts w:ascii="仿宋" w:hAnsi="仿宋" w:eastAsia="仿宋" w:cs="仿宋"/>
                <w:color w:val="000000"/>
                <w:sz w:val="24"/>
                <w:lang w:val="hr-HR"/>
              </w:rPr>
            </w:pPr>
            <w:r>
              <w:rPr>
                <w:rFonts w:hint="eastAsia" w:ascii="仿宋" w:hAnsi="仿宋" w:eastAsia="仿宋" w:cs="仿宋"/>
                <w:color w:val="000000"/>
                <w:sz w:val="24"/>
                <w:lang w:val="hr-HR"/>
              </w:rPr>
              <w:t>参加采购活动前三年内，在经营活动中没有重大违法记录</w:t>
            </w:r>
          </w:p>
        </w:tc>
        <w:tc>
          <w:tcPr>
            <w:tcW w:w="2363" w:type="pct"/>
            <w:vAlign w:val="center"/>
          </w:tcPr>
          <w:p w14:paraId="6FA9EEBA">
            <w:pPr>
              <w:widowControl/>
              <w:adjustRightInd w:val="0"/>
              <w:snapToGrid w:val="0"/>
              <w:spacing w:line="400" w:lineRule="exact"/>
              <w:rPr>
                <w:rFonts w:ascii="仿宋" w:hAnsi="仿宋" w:eastAsia="仿宋" w:cs="仿宋"/>
                <w:color w:val="000000"/>
                <w:sz w:val="24"/>
                <w:lang w:val="hr-HR"/>
              </w:rPr>
            </w:pPr>
            <w:r>
              <w:rPr>
                <w:rFonts w:hint="eastAsia" w:ascii="仿宋" w:hAnsi="仿宋" w:eastAsia="仿宋" w:cs="仿宋"/>
                <w:bCs/>
                <w:color w:val="000000"/>
                <w:sz w:val="24"/>
              </w:rPr>
              <w:t>参加</w:t>
            </w:r>
            <w:r>
              <w:rPr>
                <w:rFonts w:hint="eastAsia" w:ascii="仿宋" w:hAnsi="仿宋" w:eastAsia="仿宋" w:cs="仿宋"/>
                <w:color w:val="000000"/>
                <w:sz w:val="24"/>
                <w:lang w:val="zh-CN"/>
              </w:rPr>
              <w:t>采购活动前</w:t>
            </w:r>
            <w:r>
              <w:rPr>
                <w:rFonts w:hint="eastAsia" w:ascii="仿宋" w:hAnsi="仿宋" w:eastAsia="仿宋" w:cs="仿宋"/>
                <w:color w:val="000000"/>
                <w:sz w:val="24"/>
              </w:rPr>
              <w:t>3年内在经营活动中没有重大违法记录的书面声明。</w:t>
            </w:r>
          </w:p>
        </w:tc>
      </w:tr>
      <w:tr w14:paraId="1AB5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vMerge w:val="continue"/>
            <w:vAlign w:val="center"/>
          </w:tcPr>
          <w:p w14:paraId="62FBCA11">
            <w:pPr>
              <w:widowControl/>
              <w:adjustRightInd w:val="0"/>
              <w:snapToGrid w:val="0"/>
              <w:spacing w:line="400" w:lineRule="exact"/>
              <w:rPr>
                <w:rFonts w:ascii="仿宋" w:hAnsi="仿宋" w:eastAsia="仿宋" w:cs="仿宋"/>
                <w:color w:val="000000"/>
                <w:kern w:val="0"/>
                <w:sz w:val="24"/>
              </w:rPr>
            </w:pPr>
          </w:p>
        </w:tc>
        <w:tc>
          <w:tcPr>
            <w:tcW w:w="640" w:type="pct"/>
            <w:vMerge w:val="continue"/>
            <w:vAlign w:val="center"/>
          </w:tcPr>
          <w:p w14:paraId="59094D38">
            <w:pPr>
              <w:widowControl/>
              <w:adjustRightInd w:val="0"/>
              <w:snapToGrid w:val="0"/>
              <w:spacing w:line="400" w:lineRule="exact"/>
              <w:rPr>
                <w:rFonts w:ascii="仿宋" w:hAnsi="仿宋" w:eastAsia="仿宋" w:cs="仿宋"/>
                <w:color w:val="000000"/>
                <w:sz w:val="24"/>
                <w:lang w:val="hr-HR"/>
              </w:rPr>
            </w:pPr>
          </w:p>
        </w:tc>
        <w:tc>
          <w:tcPr>
            <w:tcW w:w="1452" w:type="pct"/>
            <w:vAlign w:val="center"/>
          </w:tcPr>
          <w:p w14:paraId="2F4EB465">
            <w:pPr>
              <w:widowControl/>
              <w:adjustRightInd w:val="0"/>
              <w:snapToGrid w:val="0"/>
              <w:spacing w:line="400" w:lineRule="exact"/>
              <w:rPr>
                <w:rFonts w:ascii="仿宋" w:hAnsi="仿宋" w:eastAsia="仿宋" w:cs="仿宋"/>
                <w:color w:val="000000"/>
                <w:sz w:val="24"/>
                <w:lang w:val="hr-HR"/>
              </w:rPr>
            </w:pPr>
            <w:r>
              <w:rPr>
                <w:rFonts w:hint="eastAsia" w:ascii="仿宋" w:hAnsi="仿宋" w:eastAsia="仿宋" w:cs="仿宋"/>
                <w:color w:val="000000"/>
                <w:sz w:val="24"/>
                <w:lang w:val="hr-HR"/>
              </w:rPr>
              <w:t>法律、行政法规规定的其他条件</w:t>
            </w:r>
          </w:p>
        </w:tc>
        <w:tc>
          <w:tcPr>
            <w:tcW w:w="2363" w:type="pct"/>
            <w:vAlign w:val="center"/>
          </w:tcPr>
          <w:p w14:paraId="3F2FC348">
            <w:pPr>
              <w:widowControl/>
              <w:adjustRightInd w:val="0"/>
              <w:snapToGrid w:val="0"/>
              <w:spacing w:line="400" w:lineRule="exact"/>
              <w:rPr>
                <w:rFonts w:ascii="仿宋" w:hAnsi="仿宋" w:eastAsia="仿宋" w:cs="仿宋"/>
                <w:color w:val="000000"/>
                <w:sz w:val="24"/>
                <w:lang w:val="hr-HR"/>
              </w:rPr>
            </w:pPr>
            <w:r>
              <w:rPr>
                <w:rFonts w:hint="eastAsia" w:ascii="仿宋" w:hAnsi="仿宋" w:eastAsia="仿宋" w:cs="仿宋"/>
                <w:color w:val="000000"/>
                <w:sz w:val="24"/>
                <w:lang w:val="hr-HR"/>
              </w:rPr>
              <w:t>如国家对生产和销售相关产品或提供相关服务有专门法律、行政法规规定的，须提供相关许可的证明材料。</w:t>
            </w:r>
          </w:p>
        </w:tc>
      </w:tr>
      <w:tr w14:paraId="5670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vMerge w:val="continue"/>
            <w:vAlign w:val="center"/>
          </w:tcPr>
          <w:p w14:paraId="7F7D0045">
            <w:pPr>
              <w:widowControl/>
              <w:adjustRightInd w:val="0"/>
              <w:snapToGrid w:val="0"/>
              <w:spacing w:line="400" w:lineRule="exact"/>
              <w:rPr>
                <w:rFonts w:ascii="仿宋" w:hAnsi="仿宋" w:eastAsia="仿宋" w:cs="仿宋"/>
                <w:color w:val="000000"/>
                <w:kern w:val="0"/>
                <w:sz w:val="24"/>
              </w:rPr>
            </w:pPr>
          </w:p>
        </w:tc>
        <w:tc>
          <w:tcPr>
            <w:tcW w:w="640" w:type="pct"/>
            <w:vMerge w:val="continue"/>
            <w:vAlign w:val="center"/>
          </w:tcPr>
          <w:p w14:paraId="4B986495">
            <w:pPr>
              <w:widowControl/>
              <w:adjustRightInd w:val="0"/>
              <w:snapToGrid w:val="0"/>
              <w:spacing w:line="400" w:lineRule="exact"/>
              <w:rPr>
                <w:rFonts w:ascii="仿宋" w:hAnsi="仿宋" w:eastAsia="仿宋" w:cs="仿宋"/>
                <w:color w:val="000000"/>
                <w:sz w:val="24"/>
                <w:lang w:val="hr-HR"/>
              </w:rPr>
            </w:pPr>
          </w:p>
        </w:tc>
        <w:tc>
          <w:tcPr>
            <w:tcW w:w="1452" w:type="pct"/>
            <w:vAlign w:val="center"/>
          </w:tcPr>
          <w:p w14:paraId="2F76BBB1">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sz w:val="24"/>
              </w:rPr>
              <w:t>单位负责人为同一人或者存在直接控股、管理关系的不同投标人，不得参加本项目同一合同项下的政府采购活动。</w:t>
            </w:r>
          </w:p>
        </w:tc>
        <w:tc>
          <w:tcPr>
            <w:tcW w:w="2363" w:type="pct"/>
            <w:vAlign w:val="center"/>
          </w:tcPr>
          <w:p w14:paraId="2FD3F8DE">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sz w:val="24"/>
              </w:rPr>
              <w:t>提供书面声明。</w:t>
            </w:r>
          </w:p>
        </w:tc>
      </w:tr>
      <w:tr w14:paraId="6CA3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vMerge w:val="continue"/>
            <w:vAlign w:val="center"/>
          </w:tcPr>
          <w:p w14:paraId="10E83851">
            <w:pPr>
              <w:widowControl/>
              <w:adjustRightInd w:val="0"/>
              <w:snapToGrid w:val="0"/>
              <w:spacing w:line="400" w:lineRule="exact"/>
              <w:rPr>
                <w:rFonts w:ascii="仿宋" w:hAnsi="仿宋" w:eastAsia="仿宋" w:cs="仿宋"/>
                <w:color w:val="000000"/>
                <w:kern w:val="0"/>
                <w:sz w:val="24"/>
              </w:rPr>
            </w:pPr>
          </w:p>
        </w:tc>
        <w:tc>
          <w:tcPr>
            <w:tcW w:w="640" w:type="pct"/>
            <w:vMerge w:val="continue"/>
            <w:vAlign w:val="center"/>
          </w:tcPr>
          <w:p w14:paraId="1BE0C8F4">
            <w:pPr>
              <w:widowControl/>
              <w:adjustRightInd w:val="0"/>
              <w:snapToGrid w:val="0"/>
              <w:spacing w:line="400" w:lineRule="exact"/>
              <w:rPr>
                <w:rFonts w:ascii="仿宋" w:hAnsi="仿宋" w:eastAsia="仿宋" w:cs="仿宋"/>
                <w:color w:val="000000"/>
                <w:sz w:val="24"/>
                <w:lang w:val="hr-HR"/>
              </w:rPr>
            </w:pPr>
          </w:p>
        </w:tc>
        <w:tc>
          <w:tcPr>
            <w:tcW w:w="1452" w:type="pct"/>
            <w:vAlign w:val="center"/>
          </w:tcPr>
          <w:p w14:paraId="7BE27FE1">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sz w:val="24"/>
              </w:rPr>
              <w:t>为本采购项目提供整体设计、规范编制或者项目管理、监理、检测等服务的，不得再参加本项目的其他招标采购活动。</w:t>
            </w:r>
          </w:p>
        </w:tc>
        <w:tc>
          <w:tcPr>
            <w:tcW w:w="2363" w:type="pct"/>
            <w:vAlign w:val="center"/>
          </w:tcPr>
          <w:p w14:paraId="4D2326BD">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sz w:val="24"/>
              </w:rPr>
              <w:t>提供书面声明。</w:t>
            </w:r>
          </w:p>
        </w:tc>
      </w:tr>
      <w:tr w14:paraId="568D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vAlign w:val="center"/>
          </w:tcPr>
          <w:p w14:paraId="56049481">
            <w:pPr>
              <w:widowControl/>
              <w:adjustRightInd w:val="0"/>
              <w:snapToGrid w:val="0"/>
              <w:spacing w:line="400" w:lineRule="exact"/>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640" w:type="pct"/>
            <w:vMerge w:val="restart"/>
            <w:vAlign w:val="center"/>
          </w:tcPr>
          <w:p w14:paraId="32CCF412">
            <w:pPr>
              <w:widowControl/>
              <w:adjustRightInd w:val="0"/>
              <w:snapToGrid w:val="0"/>
              <w:spacing w:line="400" w:lineRule="exact"/>
              <w:rPr>
                <w:rFonts w:ascii="仿宋" w:hAnsi="仿宋" w:eastAsia="仿宋" w:cs="仿宋"/>
                <w:color w:val="000000"/>
                <w:sz w:val="24"/>
                <w:lang w:val="hr-HR"/>
              </w:rPr>
            </w:pPr>
            <w:r>
              <w:rPr>
                <w:rFonts w:hint="eastAsia" w:ascii="仿宋" w:hAnsi="仿宋" w:eastAsia="仿宋" w:cs="仿宋"/>
                <w:color w:val="000000"/>
                <w:sz w:val="24"/>
                <w:lang w:val="hr-HR"/>
              </w:rPr>
              <w:t>“投标人资格要求”第（二）款的规定</w:t>
            </w:r>
          </w:p>
        </w:tc>
        <w:tc>
          <w:tcPr>
            <w:tcW w:w="1452" w:type="pct"/>
            <w:vAlign w:val="center"/>
          </w:tcPr>
          <w:p w14:paraId="2B3BCEE0">
            <w:pPr>
              <w:widowControl/>
              <w:adjustRightInd w:val="0"/>
              <w:snapToGrid w:val="0"/>
              <w:spacing w:line="400" w:lineRule="exact"/>
              <w:rPr>
                <w:rFonts w:ascii="仿宋" w:hAnsi="仿宋" w:eastAsia="仿宋" w:cs="仿宋"/>
                <w:color w:val="000000"/>
                <w:sz w:val="24"/>
                <w:lang w:val="hr-HR"/>
              </w:rPr>
            </w:pPr>
            <w:r>
              <w:rPr>
                <w:rFonts w:hint="eastAsia" w:ascii="仿宋" w:hAnsi="仿宋" w:eastAsia="仿宋" w:cs="仿宋"/>
                <w:color w:val="000000"/>
                <w:sz w:val="24"/>
                <w:lang w:val="hr-HR"/>
              </w:rPr>
              <w:t>未被列入失信被执行人、重大税收违法失信主体，未被列入政府采购严重违法失信行为记录名单</w:t>
            </w:r>
          </w:p>
        </w:tc>
        <w:tc>
          <w:tcPr>
            <w:tcW w:w="2363" w:type="pct"/>
            <w:vAlign w:val="center"/>
          </w:tcPr>
          <w:p w14:paraId="32A76024">
            <w:pPr>
              <w:keepNext w:val="0"/>
              <w:keepLines w:val="0"/>
              <w:pageBreakBefore w:val="0"/>
              <w:widowControl/>
              <w:kinsoku/>
              <w:wordWrap w:val="0"/>
              <w:overflowPunct/>
              <w:topLinePunct w:val="0"/>
              <w:autoSpaceDE/>
              <w:autoSpaceDN/>
              <w:bidi w:val="0"/>
              <w:adjustRightInd w:val="0"/>
              <w:snapToGrid w:val="0"/>
              <w:spacing w:line="400" w:lineRule="exact"/>
              <w:textAlignment w:val="auto"/>
              <w:rPr>
                <w:rFonts w:ascii="仿宋" w:hAnsi="仿宋" w:eastAsia="仿宋" w:cs="仿宋"/>
                <w:color w:val="000000"/>
                <w:sz w:val="24"/>
                <w:lang w:val="hr-HR"/>
              </w:rPr>
            </w:pPr>
            <w:r>
              <w:rPr>
                <w:rFonts w:hint="eastAsia" w:ascii="仿宋" w:hAnsi="仿宋" w:eastAsia="仿宋" w:cs="仿宋"/>
                <w:color w:val="000000"/>
                <w:sz w:val="24"/>
              </w:rPr>
              <w:t>以采购人和采购代理机构在投标截止日在“信用中国”网站（www.creditchina.gov.cn）及中国政府采购网(www.ccgp.gov.cn)查询的投标人参加政府采购活动前三年内的结果为准（采购人和采购代理机构对信用信息查询记录和证据截图或下载存档）</w:t>
            </w:r>
          </w:p>
        </w:tc>
      </w:tr>
      <w:tr w14:paraId="690E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24" w:hRule="atLeast"/>
          <w:jc w:val="center"/>
        </w:trPr>
        <w:tc>
          <w:tcPr>
            <w:tcW w:w="543" w:type="pct"/>
            <w:vAlign w:val="center"/>
          </w:tcPr>
          <w:p w14:paraId="2A7D71DF">
            <w:pPr>
              <w:widowControl/>
              <w:adjustRightInd w:val="0"/>
              <w:snapToGrid w:val="0"/>
              <w:spacing w:line="400" w:lineRule="exact"/>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640" w:type="pct"/>
            <w:vMerge w:val="continue"/>
            <w:vAlign w:val="center"/>
          </w:tcPr>
          <w:p w14:paraId="5F39F23E">
            <w:pPr>
              <w:widowControl/>
              <w:adjustRightInd w:val="0"/>
              <w:snapToGrid w:val="0"/>
              <w:spacing w:line="400" w:lineRule="exact"/>
              <w:rPr>
                <w:rFonts w:ascii="仿宋" w:hAnsi="仿宋" w:eastAsia="仿宋" w:cs="仿宋"/>
                <w:color w:val="000000"/>
                <w:sz w:val="24"/>
                <w:lang w:val="hr-HR"/>
              </w:rPr>
            </w:pPr>
          </w:p>
        </w:tc>
        <w:tc>
          <w:tcPr>
            <w:tcW w:w="2470" w:type="dxa"/>
            <w:vAlign w:val="center"/>
          </w:tcPr>
          <w:p w14:paraId="21E8E58D">
            <w:pPr>
              <w:widowControl/>
              <w:adjustRightInd w:val="0"/>
              <w:snapToGrid w:val="0"/>
              <w:spacing w:line="400" w:lineRule="exact"/>
              <w:jc w:val="left"/>
              <w:rPr>
                <w:rFonts w:ascii="仿宋" w:hAnsi="仿宋" w:eastAsia="仿宋" w:cs="仿宋"/>
                <w:color w:val="000000"/>
                <w:sz w:val="24"/>
                <w:lang w:val="hr-HR"/>
              </w:rPr>
            </w:pPr>
            <w:r>
              <w:rPr>
                <w:rFonts w:hint="eastAsia" w:ascii="仿宋" w:hAnsi="仿宋" w:eastAsia="仿宋" w:cs="仿宋"/>
                <w:color w:val="auto"/>
                <w:kern w:val="0"/>
                <w:sz w:val="24"/>
                <w:highlight w:val="none"/>
              </w:rPr>
              <w:t>投标人须具备有效的《食品经营许可证》或《食品经营者备案信息采集表》，国家另有规定的从其规定</w:t>
            </w:r>
          </w:p>
        </w:tc>
        <w:tc>
          <w:tcPr>
            <w:tcW w:w="4021" w:type="dxa"/>
            <w:vAlign w:val="center"/>
          </w:tcPr>
          <w:p w14:paraId="0573D902">
            <w:pPr>
              <w:widowControl/>
              <w:adjustRightInd w:val="0"/>
              <w:snapToGrid w:val="0"/>
              <w:spacing w:line="400" w:lineRule="exact"/>
              <w:rPr>
                <w:rFonts w:ascii="仿宋" w:hAnsi="仿宋" w:eastAsia="仿宋" w:cs="仿宋"/>
                <w:color w:val="000000"/>
                <w:sz w:val="24"/>
                <w:lang w:val="hr-HR"/>
              </w:rPr>
            </w:pPr>
            <w:r>
              <w:rPr>
                <w:rFonts w:hint="eastAsia" w:ascii="仿宋" w:hAnsi="仿宋" w:eastAsia="仿宋" w:cs="仿宋"/>
                <w:color w:val="auto"/>
                <w:kern w:val="0"/>
                <w:sz w:val="24"/>
                <w:highlight w:val="none"/>
              </w:rPr>
              <w:t>投标人须具备有效的《食品经营许可证》或《食品经营者备案信息采集表》，国家另有规定的从其规定</w:t>
            </w:r>
          </w:p>
        </w:tc>
      </w:tr>
    </w:tbl>
    <w:p w14:paraId="6FC0BC86">
      <w:pPr>
        <w:pStyle w:val="314"/>
        <w:keepNext w:val="0"/>
        <w:keepLines w:val="0"/>
        <w:pageBreakBefore w:val="0"/>
        <w:widowControl w:val="0"/>
        <w:kinsoku/>
        <w:wordWrap w:val="0"/>
        <w:overflowPunct/>
        <w:topLinePunct w:val="0"/>
        <w:autoSpaceDE/>
        <w:autoSpaceDN/>
        <w:bidi w:val="0"/>
        <w:adjustRightInd/>
        <w:snapToGrid/>
        <w:spacing w:before="157" w:beforeLines="50" w:line="360" w:lineRule="auto"/>
        <w:ind w:left="0"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备注：</w:t>
      </w:r>
    </w:p>
    <w:p w14:paraId="37B3B4A2">
      <w:pPr>
        <w:pStyle w:val="314"/>
        <w:keepNext w:val="0"/>
        <w:keepLines w:val="0"/>
        <w:pageBreakBefore w:val="0"/>
        <w:widowControl w:val="0"/>
        <w:kinsoku/>
        <w:wordWrap w:val="0"/>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资格证明文件应为原件的扫描件或复印件，投标文件中须编入清晰的扫描件或复印件。所有证明材料须清晰可辨认，如因证明材料模糊无法辨认，缺页、漏页导致无法进行评审认定的责任由投标人自负。</w:t>
      </w:r>
    </w:p>
    <w:p w14:paraId="06B040E1">
      <w:pPr>
        <w:pStyle w:val="314"/>
        <w:keepNext w:val="0"/>
        <w:keepLines w:val="0"/>
        <w:pageBreakBefore w:val="0"/>
        <w:widowControl w:val="0"/>
        <w:kinsoku/>
        <w:wordWrap w:val="0"/>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lang w:val="zh-CN"/>
        </w:rPr>
        <w:t>信用信息核</w:t>
      </w:r>
      <w:r>
        <w:rPr>
          <w:rFonts w:hint="eastAsia" w:ascii="仿宋" w:hAnsi="仿宋" w:eastAsia="仿宋" w:cs="仿宋"/>
          <w:sz w:val="24"/>
          <w:szCs w:val="24"/>
        </w:rPr>
        <w:t>查</w:t>
      </w:r>
    </w:p>
    <w:p w14:paraId="097028D8">
      <w:pPr>
        <w:pStyle w:val="314"/>
        <w:keepNext w:val="0"/>
        <w:keepLines w:val="0"/>
        <w:pageBreakBefore w:val="0"/>
        <w:widowControl w:val="0"/>
        <w:kinsoku/>
        <w:wordWrap w:val="0"/>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highlight w:val="none"/>
        </w:rPr>
        <w:t>2.1资格审查当日应当核查投标人信用记录，投标人被列入失信被执行人、重大税收违法</w:t>
      </w:r>
      <w:r>
        <w:rPr>
          <w:rFonts w:hint="eastAsia" w:ascii="仿宋" w:hAnsi="仿宋" w:eastAsia="仿宋" w:cs="仿宋"/>
          <w:sz w:val="24"/>
          <w:szCs w:val="24"/>
          <w:highlight w:val="none"/>
          <w:lang w:val="en-US" w:eastAsia="zh-CN"/>
        </w:rPr>
        <w:t>失信主体</w:t>
      </w:r>
      <w:r>
        <w:rPr>
          <w:rFonts w:hint="eastAsia" w:ascii="仿宋" w:hAnsi="仿宋" w:eastAsia="仿宋" w:cs="仿宋"/>
          <w:sz w:val="24"/>
          <w:szCs w:val="24"/>
          <w:highlight w:val="none"/>
        </w:rPr>
        <w:t>、</w:t>
      </w:r>
      <w:r>
        <w:rPr>
          <w:rFonts w:hint="eastAsia" w:ascii="仿宋" w:hAnsi="仿宋" w:eastAsia="仿宋" w:cs="仿宋"/>
          <w:sz w:val="24"/>
          <w:szCs w:val="24"/>
        </w:rPr>
        <w:t>政府采购严重违法失信行为记录名单的，采购代理机构拒绝其参与政府采购活动。</w:t>
      </w:r>
    </w:p>
    <w:p w14:paraId="17909CFE">
      <w:pPr>
        <w:pStyle w:val="314"/>
        <w:keepNext w:val="0"/>
        <w:keepLines w:val="0"/>
        <w:pageBreakBefore w:val="0"/>
        <w:widowControl w:val="0"/>
        <w:kinsoku/>
        <w:wordWrap w:val="0"/>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2.2以联合体形式投标的，应当核查联合体所有成员和信用记录，联合体成员存在不良信用记录的，视同联合体存在不良信用信息。</w:t>
      </w:r>
    </w:p>
    <w:p w14:paraId="36071E52">
      <w:pPr>
        <w:pStyle w:val="314"/>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iCs/>
          <w:kern w:val="2"/>
          <w:sz w:val="24"/>
          <w:szCs w:val="24"/>
          <w:shd w:val="clear" w:fill="FFFFFF" w:themeFill="background1"/>
          <w:lang w:val="en-US" w:eastAsia="zh-CN" w:bidi="ar-SA"/>
        </w:rPr>
        <w:t>3.</w:t>
      </w:r>
      <w:r>
        <w:rPr>
          <w:rFonts w:hint="eastAsia" w:ascii="仿宋" w:hAnsi="仿宋" w:eastAsia="仿宋" w:cs="仿宋"/>
          <w:sz w:val="24"/>
          <w:szCs w:val="24"/>
          <w:lang w:val="en-US" w:eastAsia="zh-CN"/>
        </w:rPr>
        <w:t>对于投标文件中有任意一条不满足上表要求的将导致其投标无效，不进入下一项评审。</w:t>
      </w:r>
    </w:p>
    <w:p w14:paraId="75124D12">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sectPr>
          <w:pgSz w:w="11906" w:h="16838"/>
          <w:pgMar w:top="1440" w:right="1800" w:bottom="1440" w:left="1800" w:header="851" w:footer="850" w:gutter="0"/>
          <w:cols w:space="0" w:num="1"/>
          <w:rtlGutter w:val="0"/>
          <w:docGrid w:type="lines" w:linePitch="312" w:charSpace="0"/>
        </w:sectPr>
      </w:pPr>
      <w:bookmarkStart w:id="232" w:name="_Toc165299659"/>
    </w:p>
    <w:p w14:paraId="18D585B3">
      <w:pPr>
        <w:pStyle w:val="2"/>
        <w:numPr>
          <w:ilvl w:val="0"/>
          <w:numId w:val="4"/>
        </w:numPr>
        <w:spacing w:before="120" w:after="120" w:line="300" w:lineRule="auto"/>
        <w:rPr>
          <w:rFonts w:hint="eastAsia" w:ascii="黑体" w:hAnsi="黑体" w:eastAsia="黑体" w:cs="黑体"/>
          <w:color w:val="000000"/>
          <w:sz w:val="32"/>
          <w:szCs w:val="32"/>
        </w:rPr>
      </w:pPr>
      <w:bookmarkStart w:id="233" w:name="_Toc24873"/>
      <w:r>
        <w:rPr>
          <w:rFonts w:hint="eastAsia" w:ascii="黑体" w:hAnsi="黑体" w:eastAsia="黑体" w:cs="黑体"/>
          <w:color w:val="000000"/>
          <w:sz w:val="32"/>
          <w:szCs w:val="32"/>
        </w:rPr>
        <w:t>评标办法及标准</w:t>
      </w:r>
      <w:bookmarkEnd w:id="232"/>
      <w:bookmarkEnd w:id="233"/>
    </w:p>
    <w:p w14:paraId="341B5407">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参照</w:t>
      </w:r>
      <w:r>
        <w:rPr>
          <w:rFonts w:hint="eastAsia" w:ascii="仿宋" w:hAnsi="仿宋" w:eastAsia="仿宋" w:cs="仿宋"/>
          <w:sz w:val="24"/>
          <w:szCs w:val="24"/>
        </w:rPr>
        <w:t>《中华人民共和国政府采购法》及其实施条例、《政府采购货物和服务招标投标管理办法》相关法律法规确定以下评标办法及标准。</w:t>
      </w:r>
    </w:p>
    <w:p w14:paraId="61A1585C">
      <w:pPr>
        <w:pStyle w:val="3"/>
        <w:pageBreakBefore w:val="0"/>
        <w:widowControl w:val="0"/>
        <w:numPr>
          <w:ilvl w:val="0"/>
          <w:numId w:val="8"/>
        </w:numPr>
        <w:kinsoku/>
        <w:overflowPunct/>
        <w:topLinePunct w:val="0"/>
        <w:autoSpaceDE/>
        <w:autoSpaceDN/>
        <w:bidi w:val="0"/>
        <w:adjustRightInd/>
        <w:snapToGrid/>
        <w:spacing w:before="0" w:after="0" w:line="360" w:lineRule="auto"/>
        <w:ind w:left="0" w:firstLine="482" w:firstLineChars="200"/>
        <w:textAlignment w:val="auto"/>
        <w:rPr>
          <w:rFonts w:hint="eastAsia" w:ascii="仿宋" w:hAnsi="仿宋" w:eastAsia="仿宋" w:cs="仿宋"/>
          <w:sz w:val="24"/>
          <w:szCs w:val="24"/>
          <w:lang w:val="zh-CN"/>
        </w:rPr>
      </w:pPr>
      <w:bookmarkStart w:id="234" w:name="_Toc165299660"/>
      <w:bookmarkStart w:id="235" w:name="_Toc30162"/>
      <w:r>
        <w:rPr>
          <w:rFonts w:hint="eastAsia" w:ascii="仿宋" w:hAnsi="仿宋" w:eastAsia="仿宋" w:cs="仿宋"/>
          <w:sz w:val="24"/>
          <w:szCs w:val="24"/>
          <w:lang w:val="zh-CN"/>
        </w:rPr>
        <w:t>评标办法前附表</w:t>
      </w:r>
      <w:bookmarkEnd w:id="234"/>
      <w:bookmarkEnd w:id="235"/>
    </w:p>
    <w:p w14:paraId="1D81BF94">
      <w:pPr>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Cs/>
          <w:color w:val="0D0D0D"/>
          <w:sz w:val="24"/>
          <w:szCs w:val="24"/>
          <w:lang w:val="zh-CN"/>
        </w:rPr>
      </w:pPr>
      <w:r>
        <w:rPr>
          <w:rFonts w:hint="eastAsia" w:ascii="仿宋" w:hAnsi="仿宋" w:eastAsia="仿宋" w:cs="仿宋"/>
          <w:bCs/>
          <w:color w:val="0D0D0D"/>
          <w:sz w:val="24"/>
          <w:szCs w:val="24"/>
          <w:lang w:val="zh-CN"/>
        </w:rPr>
        <w:t>下面所列资料是对评标方法和评标程序的具体补充和说明。如有矛盾，应以本表为准。</w:t>
      </w:r>
    </w:p>
    <w:tbl>
      <w:tblPr>
        <w:tblStyle w:val="49"/>
        <w:tblW w:w="4999"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57" w:type="dxa"/>
          <w:left w:w="108" w:type="dxa"/>
          <w:bottom w:w="57" w:type="dxa"/>
          <w:right w:w="108" w:type="dxa"/>
        </w:tblCellMar>
      </w:tblPr>
      <w:tblGrid>
        <w:gridCol w:w="968"/>
        <w:gridCol w:w="1718"/>
        <w:gridCol w:w="5834"/>
      </w:tblGrid>
      <w:tr w14:paraId="61B858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blHeader/>
        </w:trPr>
        <w:tc>
          <w:tcPr>
            <w:tcW w:w="568"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00D6DEA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条款号</w:t>
            </w:r>
          </w:p>
        </w:tc>
        <w:tc>
          <w:tcPr>
            <w:tcW w:w="1008"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2934BBC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423"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5666E31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内容</w:t>
            </w:r>
          </w:p>
        </w:tc>
      </w:tr>
      <w:tr w14:paraId="519E73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8" w:type="pct"/>
            <w:tcBorders>
              <w:top w:val="single" w:color="auto" w:sz="4" w:space="0"/>
            </w:tcBorders>
            <w:vAlign w:val="center"/>
          </w:tcPr>
          <w:p w14:paraId="1B36031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7.1</w:t>
            </w:r>
          </w:p>
        </w:tc>
        <w:tc>
          <w:tcPr>
            <w:tcW w:w="1008" w:type="pct"/>
            <w:tcBorders>
              <w:top w:val="single" w:color="auto" w:sz="4" w:space="0"/>
            </w:tcBorders>
            <w:vAlign w:val="center"/>
          </w:tcPr>
          <w:p w14:paraId="01A48E3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报价修正规定</w:t>
            </w:r>
          </w:p>
        </w:tc>
        <w:tc>
          <w:tcPr>
            <w:tcW w:w="3423" w:type="pct"/>
            <w:tcBorders>
              <w:top w:val="single" w:color="auto" w:sz="4" w:space="0"/>
            </w:tcBorders>
            <w:vAlign w:val="center"/>
          </w:tcPr>
          <w:p w14:paraId="521382E4">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rPr>
              <w:t>（1）投标文件中开标一览表内容与投标文件中相应内容不一致的，以开标一览表为准</w:t>
            </w:r>
            <w:r>
              <w:rPr>
                <w:rFonts w:hint="eastAsia" w:ascii="仿宋" w:hAnsi="仿宋" w:eastAsia="仿宋" w:cs="仿宋"/>
                <w:sz w:val="24"/>
                <w:szCs w:val="24"/>
                <w:lang w:eastAsia="zh-CN"/>
              </w:rPr>
              <w:t>。</w:t>
            </w:r>
          </w:p>
          <w:p w14:paraId="62B8598A">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rPr>
              <w:t>（2）大写金额和小写金额不一致的，以大写金额为准</w:t>
            </w:r>
            <w:r>
              <w:rPr>
                <w:rFonts w:hint="eastAsia" w:ascii="仿宋" w:hAnsi="仿宋" w:eastAsia="仿宋" w:cs="仿宋"/>
                <w:sz w:val="24"/>
                <w:szCs w:val="24"/>
                <w:lang w:eastAsia="zh-CN"/>
              </w:rPr>
              <w:t>。</w:t>
            </w:r>
          </w:p>
          <w:p w14:paraId="5F7D275F">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rPr>
              <w:t>（3）单价金额小数点或百分比有明显错位的，以开标一览表的总价为准，并修改单价</w:t>
            </w:r>
            <w:r>
              <w:rPr>
                <w:rFonts w:hint="eastAsia" w:ascii="仿宋" w:hAnsi="仿宋" w:eastAsia="仿宋" w:cs="仿宋"/>
                <w:sz w:val="24"/>
                <w:szCs w:val="24"/>
                <w:lang w:eastAsia="zh-CN"/>
              </w:rPr>
              <w:t>。</w:t>
            </w:r>
          </w:p>
          <w:p w14:paraId="47970518">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rPr>
              <w:t>（4）总价金额与按单价汇总金额不一致的，以单价金额计算结果为准</w:t>
            </w:r>
            <w:r>
              <w:rPr>
                <w:rFonts w:hint="eastAsia" w:ascii="仿宋" w:hAnsi="仿宋" w:eastAsia="仿宋" w:cs="仿宋"/>
                <w:sz w:val="24"/>
                <w:szCs w:val="24"/>
                <w:lang w:eastAsia="zh-CN"/>
              </w:rPr>
              <w:t>。</w:t>
            </w:r>
          </w:p>
          <w:p w14:paraId="36E49BED">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rPr>
              <w:t>（5）同时出现两种以上不一致的，按照前款规定的顺序修正。</w:t>
            </w:r>
          </w:p>
        </w:tc>
      </w:tr>
      <w:tr w14:paraId="00F49E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8" w:type="pct"/>
            <w:vAlign w:val="center"/>
          </w:tcPr>
          <w:p w14:paraId="78AE7FF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8.2</w:t>
            </w:r>
          </w:p>
        </w:tc>
        <w:tc>
          <w:tcPr>
            <w:tcW w:w="1008" w:type="pct"/>
            <w:vAlign w:val="center"/>
          </w:tcPr>
          <w:p w14:paraId="49C86A4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评标方法</w:t>
            </w:r>
          </w:p>
        </w:tc>
        <w:tc>
          <w:tcPr>
            <w:tcW w:w="3423" w:type="pct"/>
            <w:vAlign w:val="center"/>
          </w:tcPr>
          <w:p w14:paraId="0C67F071">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综合评分法</w:t>
            </w:r>
          </w:p>
        </w:tc>
      </w:tr>
      <w:tr w14:paraId="2D7320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8" w:type="pct"/>
            <w:vAlign w:val="center"/>
          </w:tcPr>
          <w:p w14:paraId="437EBB1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12.1</w:t>
            </w:r>
          </w:p>
        </w:tc>
        <w:tc>
          <w:tcPr>
            <w:tcW w:w="1008" w:type="pct"/>
            <w:vAlign w:val="center"/>
          </w:tcPr>
          <w:p w14:paraId="4C6397F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相同品牌中标候选人推荐方式</w:t>
            </w:r>
          </w:p>
        </w:tc>
        <w:tc>
          <w:tcPr>
            <w:tcW w:w="3423" w:type="pct"/>
            <w:vAlign w:val="center"/>
          </w:tcPr>
          <w:p w14:paraId="0F64CAF6">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得分最高的同品牌投标人获得中标候选人推荐资格</w:t>
            </w:r>
            <w:r>
              <w:rPr>
                <w:rFonts w:hint="eastAsia" w:ascii="仿宋" w:hAnsi="仿宋" w:eastAsia="仿宋" w:cs="仿宋"/>
                <w:sz w:val="24"/>
                <w:szCs w:val="24"/>
                <w:lang w:eastAsia="zh-CN"/>
              </w:rPr>
              <w:t>；</w:t>
            </w:r>
            <w:r>
              <w:rPr>
                <w:rFonts w:hint="eastAsia" w:ascii="仿宋" w:hAnsi="仿宋" w:eastAsia="仿宋" w:cs="仿宋"/>
                <w:sz w:val="24"/>
                <w:szCs w:val="24"/>
              </w:rPr>
              <w:t>评审得分相同的，投标价格低的排名优先;得分、价格均相同的，技术部分得分高的排名优先;以上情况仍无法判定排名顺序的，由评标委员会以投票方式确定一家投标人获得中标人推荐资格，并在评标报告中进行记录。其它同品牌投标人不作为中标候选人。</w:t>
            </w:r>
          </w:p>
          <w:p w14:paraId="4C98A145">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报价最低的同品牌投标人获得中标候选人推荐资格；报价相同的，由采购人确定或者采购人委托评标委员会以投票方式确定一家投标人获得中标人推荐资格，其它</w:t>
            </w:r>
            <w:r>
              <w:rPr>
                <w:rFonts w:hint="eastAsia" w:ascii="仿宋" w:hAnsi="仿宋" w:eastAsia="仿宋" w:cs="仿宋"/>
                <w:b/>
                <w:bCs/>
                <w:sz w:val="24"/>
                <w:szCs w:val="24"/>
              </w:rPr>
              <w:t>投标无效</w:t>
            </w:r>
            <w:r>
              <w:rPr>
                <w:rFonts w:hint="eastAsia" w:ascii="仿宋" w:hAnsi="仿宋" w:eastAsia="仿宋" w:cs="仿宋"/>
                <w:sz w:val="24"/>
                <w:szCs w:val="24"/>
              </w:rPr>
              <w:t>。</w:t>
            </w:r>
          </w:p>
        </w:tc>
      </w:tr>
      <w:tr w14:paraId="556F89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24" w:hRule="atLeast"/>
        </w:trPr>
        <w:tc>
          <w:tcPr>
            <w:tcW w:w="568" w:type="pct"/>
            <w:vAlign w:val="center"/>
          </w:tcPr>
          <w:p w14:paraId="2341A4A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13</w:t>
            </w:r>
          </w:p>
        </w:tc>
        <w:tc>
          <w:tcPr>
            <w:tcW w:w="1008" w:type="pct"/>
            <w:vAlign w:val="center"/>
          </w:tcPr>
          <w:p w14:paraId="46DED97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中标候选人排序方式</w:t>
            </w:r>
          </w:p>
        </w:tc>
        <w:tc>
          <w:tcPr>
            <w:tcW w:w="3423" w:type="pct"/>
            <w:vAlign w:val="center"/>
          </w:tcPr>
          <w:p w14:paraId="577091B5">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评标结果排序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D759ECE">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评标结果按照投标报价（因落实政府采购政策进行价格扣除的，以扣除后的价格计算）由低到高顺序排列。投标报价相同的并列。投标文件满足招标文件全部实质性要求且投标报价最低的投标人为排名第一的中标候选人。</w:t>
            </w:r>
          </w:p>
        </w:tc>
      </w:tr>
    </w:tbl>
    <w:p w14:paraId="6B075ABC">
      <w:pPr>
        <w:pStyle w:val="3"/>
        <w:pageBreakBefore w:val="0"/>
        <w:widowControl w:val="0"/>
        <w:numPr>
          <w:ilvl w:val="0"/>
          <w:numId w:val="8"/>
        </w:numPr>
        <w:kinsoku/>
        <w:overflowPunct/>
        <w:topLinePunct w:val="0"/>
        <w:autoSpaceDE/>
        <w:autoSpaceDN/>
        <w:bidi w:val="0"/>
        <w:adjustRightInd/>
        <w:snapToGrid/>
        <w:spacing w:before="0" w:after="0" w:line="360" w:lineRule="auto"/>
        <w:ind w:left="0" w:firstLine="482" w:firstLineChars="200"/>
        <w:textAlignment w:val="auto"/>
        <w:rPr>
          <w:rFonts w:hint="eastAsia" w:ascii="仿宋" w:hAnsi="仿宋" w:eastAsia="仿宋" w:cs="仿宋"/>
          <w:sz w:val="24"/>
          <w:szCs w:val="24"/>
          <w:lang w:val="zh-CN"/>
        </w:rPr>
      </w:pPr>
      <w:bookmarkStart w:id="236" w:name="_Toc23284"/>
      <w:bookmarkStart w:id="237" w:name="_Toc163492901"/>
      <w:r>
        <w:rPr>
          <w:rFonts w:hint="eastAsia" w:ascii="仿宋" w:hAnsi="仿宋" w:eastAsia="仿宋" w:cs="仿宋"/>
          <w:sz w:val="24"/>
          <w:szCs w:val="24"/>
          <w:lang w:val="zh-CN"/>
        </w:rPr>
        <w:t>评标程序</w:t>
      </w:r>
      <w:bookmarkEnd w:id="236"/>
      <w:bookmarkEnd w:id="237"/>
    </w:p>
    <w:p w14:paraId="269E7E61">
      <w:pPr>
        <w:pStyle w:val="4"/>
        <w:pageBreakBefore w:val="0"/>
        <w:widowControl w:val="0"/>
        <w:numPr>
          <w:ilvl w:val="0"/>
          <w:numId w:val="9"/>
        </w:numPr>
        <w:tabs>
          <w:tab w:val="left" w:pos="1470"/>
        </w:tabs>
        <w:kinsoku/>
        <w:overflowPunct/>
        <w:topLinePunct w:val="0"/>
        <w:autoSpaceDE/>
        <w:autoSpaceDN/>
        <w:bidi w:val="0"/>
        <w:adjustRightInd/>
        <w:snapToGrid/>
        <w:spacing w:before="0" w:after="0" w:line="360" w:lineRule="auto"/>
        <w:ind w:left="0" w:firstLine="482" w:firstLineChars="200"/>
        <w:jc w:val="left"/>
        <w:textAlignment w:val="auto"/>
        <w:rPr>
          <w:rFonts w:hint="eastAsia" w:ascii="仿宋" w:hAnsi="仿宋" w:eastAsia="仿宋" w:cs="仿宋"/>
          <w:sz w:val="24"/>
          <w:szCs w:val="24"/>
          <w:lang w:val="zh-CN"/>
        </w:rPr>
      </w:pPr>
      <w:bookmarkStart w:id="238" w:name="_Toc163492902"/>
      <w:r>
        <w:rPr>
          <w:rFonts w:hint="eastAsia" w:ascii="仿宋" w:hAnsi="仿宋" w:eastAsia="仿宋" w:cs="仿宋"/>
          <w:sz w:val="24"/>
          <w:szCs w:val="24"/>
          <w:lang w:val="zh-CN"/>
        </w:rPr>
        <w:t>符合性审查</w:t>
      </w:r>
      <w:bookmarkEnd w:id="238"/>
    </w:p>
    <w:p w14:paraId="5985C4D5">
      <w:pPr>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rPr>
        <w:t>1.</w:t>
      </w:r>
      <w:r>
        <w:rPr>
          <w:rFonts w:hint="eastAsia" w:ascii="仿宋" w:hAnsi="仿宋" w:eastAsia="仿宋" w:cs="仿宋"/>
          <w:sz w:val="24"/>
          <w:szCs w:val="24"/>
          <w:lang w:val="zh-CN"/>
        </w:rPr>
        <w:t>评标委员会应当按照本章“三、评标标准”中“（一）符合性审查”的内容对通过资格审查的投标人的投标文件进行符合性审查，以确定其是否满足招标文件实质性要求。不满足招标文件实质性要求的按照</w:t>
      </w:r>
      <w:r>
        <w:rPr>
          <w:rFonts w:hint="eastAsia" w:ascii="仿宋" w:hAnsi="仿宋" w:eastAsia="仿宋" w:cs="仿宋"/>
          <w:b/>
          <w:bCs/>
          <w:sz w:val="24"/>
          <w:szCs w:val="24"/>
          <w:lang w:val="zh-CN"/>
        </w:rPr>
        <w:t>无效投标处理</w:t>
      </w:r>
      <w:r>
        <w:rPr>
          <w:rFonts w:hint="eastAsia" w:ascii="仿宋" w:hAnsi="仿宋" w:eastAsia="仿宋" w:cs="仿宋"/>
          <w:sz w:val="24"/>
          <w:szCs w:val="24"/>
          <w:lang w:val="zh-CN"/>
        </w:rPr>
        <w:t>。</w:t>
      </w:r>
    </w:p>
    <w:p w14:paraId="0F420ABA">
      <w:pPr>
        <w:pageBreakBefore w:val="0"/>
        <w:widowControl w:val="0"/>
        <w:numPr>
          <w:ilvl w:val="255"/>
          <w:numId w:val="0"/>
        </w:numPr>
        <w:kinsoku/>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sz w:val="24"/>
          <w:szCs w:val="24"/>
          <w:lang w:val="zh-CN"/>
        </w:rPr>
      </w:pPr>
      <w:bookmarkStart w:id="239" w:name="_Hlk161614521"/>
      <w:r>
        <w:rPr>
          <w:rFonts w:hint="eastAsia" w:ascii="仿宋" w:hAnsi="仿宋" w:eastAsia="仿宋" w:cs="仿宋"/>
          <w:b/>
          <w:bCs/>
          <w:sz w:val="24"/>
          <w:szCs w:val="24"/>
        </w:rPr>
        <w:t>2.同品牌检查</w:t>
      </w:r>
    </w:p>
    <w:p w14:paraId="2B30BDD9">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2.1单一产品采购（或非单一产品采购中的核心产品），提供相同品牌产品且通过资格审查、符合性审查的不同投标人参加同一合同项下投标的，按一家投标人计算。</w:t>
      </w:r>
    </w:p>
    <w:p w14:paraId="713E26FE">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2.2非单一产品采购项目，采购人应当根据采购项目技术构成、产品价格比重等合理确定一个核心产品（采购清单中作“与核心产品相同〈或同一〉品牌”实质性要求的产品，视为一个核心产品），并以“核心产品”在招标文件中载明，评审时按前款规定处理。</w:t>
      </w:r>
    </w:p>
    <w:p w14:paraId="286653AE">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2.3有效投标品牌不足3家的应按</w:t>
      </w:r>
      <w:r>
        <w:rPr>
          <w:rFonts w:hint="eastAsia" w:ascii="仿宋" w:hAnsi="仿宋" w:eastAsia="仿宋" w:cs="仿宋"/>
          <w:b/>
          <w:bCs/>
          <w:sz w:val="24"/>
          <w:szCs w:val="24"/>
        </w:rPr>
        <w:t>废标</w:t>
      </w:r>
      <w:r>
        <w:rPr>
          <w:rFonts w:hint="eastAsia" w:ascii="仿宋" w:hAnsi="仿宋" w:eastAsia="仿宋" w:cs="仿宋"/>
          <w:sz w:val="24"/>
          <w:szCs w:val="24"/>
        </w:rPr>
        <w:t>处理。</w:t>
      </w:r>
    </w:p>
    <w:bookmarkEnd w:id="239"/>
    <w:p w14:paraId="5FB7B310">
      <w:pPr>
        <w:pStyle w:val="4"/>
        <w:pageBreakBefore w:val="0"/>
        <w:widowControl w:val="0"/>
        <w:numPr>
          <w:ilvl w:val="0"/>
          <w:numId w:val="9"/>
        </w:numPr>
        <w:kinsoku/>
        <w:overflowPunct/>
        <w:topLinePunct w:val="0"/>
        <w:autoSpaceDE/>
        <w:autoSpaceDN/>
        <w:bidi w:val="0"/>
        <w:adjustRightInd/>
        <w:snapToGrid/>
        <w:spacing w:before="0" w:after="0" w:line="360" w:lineRule="auto"/>
        <w:ind w:left="0" w:firstLine="482" w:firstLineChars="200"/>
        <w:jc w:val="left"/>
        <w:textAlignment w:val="auto"/>
        <w:rPr>
          <w:rFonts w:hint="eastAsia" w:ascii="仿宋" w:hAnsi="仿宋" w:eastAsia="仿宋" w:cs="仿宋"/>
          <w:sz w:val="24"/>
          <w:szCs w:val="24"/>
          <w:lang w:val="zh-CN"/>
        </w:rPr>
      </w:pPr>
      <w:bookmarkStart w:id="240" w:name="_Toc155185907"/>
      <w:bookmarkStart w:id="241" w:name="_Toc102114946"/>
      <w:bookmarkStart w:id="242" w:name="_Toc102119879"/>
      <w:bookmarkStart w:id="243" w:name="_Toc102056244"/>
      <w:bookmarkStart w:id="244" w:name="_Toc102116178"/>
      <w:bookmarkStart w:id="245" w:name="_Toc102116048"/>
      <w:bookmarkStart w:id="246" w:name="_Toc102057744"/>
      <w:bookmarkStart w:id="247" w:name="_Toc163492903"/>
      <w:bookmarkStart w:id="248" w:name="_Toc493702305"/>
      <w:bookmarkStart w:id="249" w:name="_Toc492403836"/>
      <w:bookmarkStart w:id="250" w:name="_Toc27945260"/>
      <w:r>
        <w:rPr>
          <w:rFonts w:hint="eastAsia" w:ascii="仿宋" w:hAnsi="仿宋" w:eastAsia="仿宋" w:cs="仿宋"/>
          <w:sz w:val="24"/>
          <w:szCs w:val="24"/>
          <w:lang w:val="zh-CN"/>
        </w:rPr>
        <w:t>投标文件澄清</w:t>
      </w:r>
      <w:bookmarkEnd w:id="240"/>
      <w:bookmarkEnd w:id="241"/>
      <w:bookmarkEnd w:id="242"/>
      <w:bookmarkEnd w:id="243"/>
      <w:bookmarkEnd w:id="244"/>
      <w:bookmarkEnd w:id="245"/>
      <w:bookmarkEnd w:id="246"/>
      <w:r>
        <w:rPr>
          <w:rFonts w:hint="eastAsia" w:ascii="仿宋" w:hAnsi="仿宋" w:eastAsia="仿宋" w:cs="仿宋"/>
          <w:sz w:val="24"/>
          <w:szCs w:val="24"/>
        </w:rPr>
        <w:t>及修正</w:t>
      </w:r>
      <w:bookmarkEnd w:id="247"/>
    </w:p>
    <w:p w14:paraId="0C4400AB">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3.评标期间，对于投标文件中含义不明确、同类问题表述不一致或者有明显文字和计算错误的内容，评标委员会应当在交易系统中以书面的形式要求投标人作出必要的澄清、说明或者补正。</w:t>
      </w:r>
    </w:p>
    <w:p w14:paraId="2B8DA2BC">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4.投标人应按照评标委员会要求在规定时间内作出澄清、说明或者补正，澄清、说明或者补正不得超出投标文件的范围或者改变投标文件的实质性内容。</w:t>
      </w:r>
    </w:p>
    <w:p w14:paraId="7411BB48">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5.投标人的澄清、说明或者补正是其投标文件的有效组成部分，澄清、说明或者补正应当在交易系统中加盖电子印章后提交。</w:t>
      </w:r>
    </w:p>
    <w:p w14:paraId="3E36D90C">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报价合理性说明：评标委员会认为投标人的报价明显低于其他通过符合性审查投标人的报价，有可能影响产品质量或者不能诚信履约的，应当要求其在合理的时间内提供说明，必要时提交相关证明材料；投标人不能证明其报价合理性的，评标委员应当将其作为</w:t>
      </w:r>
      <w:r>
        <w:rPr>
          <w:rFonts w:hint="eastAsia" w:ascii="仿宋" w:hAnsi="仿宋" w:eastAsia="仿宋" w:cs="仿宋"/>
          <w:b/>
          <w:bCs/>
          <w:sz w:val="24"/>
          <w:szCs w:val="24"/>
        </w:rPr>
        <w:t>无效投标</w:t>
      </w:r>
      <w:r>
        <w:rPr>
          <w:rFonts w:hint="eastAsia" w:ascii="仿宋" w:hAnsi="仿宋" w:eastAsia="仿宋" w:cs="仿宋"/>
          <w:sz w:val="24"/>
          <w:szCs w:val="24"/>
        </w:rPr>
        <w:t>处理。</w:t>
      </w:r>
    </w:p>
    <w:p w14:paraId="60FB207F">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7.投标文件报价出现前后不一致的，按照下列规定修正：</w:t>
      </w:r>
    </w:p>
    <w:p w14:paraId="06E446ED">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7.1报价修正规定见“</w:t>
      </w:r>
      <w:r>
        <w:rPr>
          <w:rFonts w:hint="eastAsia" w:ascii="仿宋" w:hAnsi="仿宋" w:eastAsia="仿宋" w:cs="仿宋"/>
          <w:sz w:val="24"/>
          <w:szCs w:val="24"/>
          <w:lang w:val="en-US"/>
        </w:rPr>
        <w:t>评标办法前附表</w:t>
      </w:r>
      <w:r>
        <w:rPr>
          <w:rFonts w:hint="eastAsia" w:ascii="仿宋" w:hAnsi="仿宋" w:eastAsia="仿宋" w:cs="仿宋"/>
          <w:sz w:val="24"/>
          <w:szCs w:val="24"/>
        </w:rPr>
        <w:t>”；</w:t>
      </w:r>
    </w:p>
    <w:p w14:paraId="2CA6A565">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7.2修正后的报价按照第5条规定经投标人确认后产生约束力，投标人不确认的，按照</w:t>
      </w:r>
      <w:r>
        <w:rPr>
          <w:rFonts w:hint="eastAsia" w:ascii="仿宋" w:hAnsi="仿宋" w:eastAsia="仿宋" w:cs="仿宋"/>
          <w:b/>
          <w:bCs/>
          <w:sz w:val="24"/>
          <w:szCs w:val="24"/>
        </w:rPr>
        <w:t>无效投标处理</w:t>
      </w:r>
      <w:r>
        <w:rPr>
          <w:rFonts w:hint="eastAsia" w:ascii="仿宋" w:hAnsi="仿宋" w:eastAsia="仿宋" w:cs="仿宋"/>
          <w:sz w:val="24"/>
          <w:szCs w:val="24"/>
        </w:rPr>
        <w:t>。</w:t>
      </w:r>
    </w:p>
    <w:p w14:paraId="4DE6BDFA">
      <w:pPr>
        <w:pStyle w:val="4"/>
        <w:pageBreakBefore w:val="0"/>
        <w:widowControl w:val="0"/>
        <w:numPr>
          <w:ilvl w:val="0"/>
          <w:numId w:val="9"/>
        </w:numPr>
        <w:kinsoku/>
        <w:overflowPunct/>
        <w:topLinePunct w:val="0"/>
        <w:autoSpaceDE/>
        <w:autoSpaceDN/>
        <w:bidi w:val="0"/>
        <w:adjustRightInd/>
        <w:snapToGrid/>
        <w:spacing w:before="0" w:after="0" w:line="360" w:lineRule="auto"/>
        <w:ind w:left="0" w:firstLine="482" w:firstLineChars="200"/>
        <w:jc w:val="left"/>
        <w:textAlignment w:val="auto"/>
        <w:rPr>
          <w:rFonts w:hint="eastAsia" w:ascii="仿宋" w:hAnsi="仿宋" w:eastAsia="仿宋" w:cs="仿宋"/>
          <w:sz w:val="24"/>
          <w:szCs w:val="24"/>
        </w:rPr>
      </w:pPr>
      <w:bookmarkStart w:id="251" w:name="_Toc163492904"/>
      <w:bookmarkStart w:id="252" w:name="_Toc155185908"/>
      <w:bookmarkStart w:id="253" w:name="_Toc102116049"/>
      <w:bookmarkStart w:id="254" w:name="_Toc102056245"/>
      <w:bookmarkStart w:id="255" w:name="_Toc102116179"/>
      <w:bookmarkStart w:id="256" w:name="_Toc102119880"/>
      <w:bookmarkStart w:id="257" w:name="_Toc102114947"/>
      <w:bookmarkStart w:id="258" w:name="_Toc102057745"/>
      <w:r>
        <w:rPr>
          <w:rFonts w:hint="eastAsia" w:ascii="仿宋" w:hAnsi="仿宋" w:eastAsia="仿宋" w:cs="仿宋"/>
          <w:sz w:val="24"/>
          <w:szCs w:val="24"/>
        </w:rPr>
        <w:t>比较和评价</w:t>
      </w:r>
      <w:bookmarkEnd w:id="251"/>
    </w:p>
    <w:p w14:paraId="33B66AA2">
      <w:pPr>
        <w:pStyle w:val="314"/>
        <w:pageBreakBefore w:val="0"/>
        <w:widowControl w:val="0"/>
        <w:kinsoku/>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8.评标方法</w:t>
      </w:r>
    </w:p>
    <w:p w14:paraId="1AE6E829">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8.1综合评分法，是指投标文件满足招标文件全部实质性要求，且按照评审因素的量化指标评审得分最高的投标人为中标候选人的评标方法。</w:t>
      </w:r>
      <w:bookmarkStart w:id="259" w:name="_Hlk161739908"/>
      <w:r>
        <w:rPr>
          <w:rFonts w:hint="eastAsia" w:ascii="仿宋" w:hAnsi="仿宋" w:eastAsia="仿宋" w:cs="仿宋"/>
          <w:sz w:val="24"/>
          <w:szCs w:val="24"/>
        </w:rPr>
        <w:t>最低评标价法</w:t>
      </w:r>
      <w:bookmarkEnd w:id="259"/>
      <w:r>
        <w:rPr>
          <w:rFonts w:hint="eastAsia" w:ascii="仿宋" w:hAnsi="仿宋" w:eastAsia="仿宋" w:cs="仿宋"/>
          <w:sz w:val="24"/>
          <w:szCs w:val="24"/>
        </w:rPr>
        <w:t>，是指投标文件满足招标文件全部实质性要求，且投标报价最低的投标人为中标候选人的评标方法。</w:t>
      </w:r>
    </w:p>
    <w:p w14:paraId="1AF09B77">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8.2本项目评标方法详见《评标办法前附表》。</w:t>
      </w:r>
    </w:p>
    <w:p w14:paraId="0FE9F024">
      <w:pPr>
        <w:pStyle w:val="314"/>
        <w:pageBreakBefore w:val="0"/>
        <w:widowControl w:val="0"/>
        <w:kinsoku/>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9.综合评分法</w:t>
      </w:r>
    </w:p>
    <w:p w14:paraId="3CC52BAD">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9.1评审因素包括投标报价、商务技术以及落实政府采购政策。评审因素及标准见本章《评分标准》。</w:t>
      </w:r>
    </w:p>
    <w:p w14:paraId="7D1CADC5">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9.2投标报价评审</w:t>
      </w:r>
    </w:p>
    <w:p w14:paraId="67D0D0A8">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（1）价格分应当采用低价优先法计算，即满足招标文件要求且投标价格最低的投标报价为评标基准价，其价格分为满分。其他投标人的价格分统一按照下列公式计算：</w:t>
      </w:r>
    </w:p>
    <w:p w14:paraId="0500A800">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投标报价得分=(评标基准价／投标报价)×100</w:t>
      </w:r>
    </w:p>
    <w:p w14:paraId="2E6A2446">
      <w:pPr>
        <w:pStyle w:val="314"/>
        <w:pageBreakBefore w:val="0"/>
        <w:widowControl w:val="0"/>
        <w:kinsoku/>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评标过程中，不得去掉报价中的最高报价和最低报价。</w:t>
      </w:r>
    </w:p>
    <w:p w14:paraId="49476D82">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（2）除算术修正和落实政府采购政策的价格扣除外，不对投标报价进行调整；</w:t>
      </w:r>
    </w:p>
    <w:p w14:paraId="56DBD1CA">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（3）价格权重见本章《评分标准》。</w:t>
      </w:r>
    </w:p>
    <w:p w14:paraId="788E5799">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9.3商务技术评审</w:t>
      </w:r>
    </w:p>
    <w:p w14:paraId="39A9B7A2">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评标委员会应对符合性审查合格的投标文件进行商务和技术评审，并按照招标文件要求及本章“三、评标标准”中的内容进行综合比较和评价。</w:t>
      </w:r>
    </w:p>
    <w:p w14:paraId="44657FC0">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9.4计分办法及复核</w:t>
      </w:r>
    </w:p>
    <w:p w14:paraId="4E45B623">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（1）评标过程中，各项分值一般精确到小数点后两位，评标得分应为商务评分、技术评分、报价评分之和。评标委员会各成员应汇总每个投标人的得分。</w:t>
      </w:r>
    </w:p>
    <w:p w14:paraId="6D9C09FA">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（2）评标结果汇总完成后，采购代理机构应对评标结果进行复核。经复核发现存在以下情形之一的，评标委员会应当当场修改评标结果，并在评标报告中记载：</w:t>
      </w:r>
    </w:p>
    <w:p w14:paraId="13A1CCF7">
      <w:pPr>
        <w:pStyle w:val="314"/>
        <w:pageBreakBefore w:val="0"/>
        <w:widowControl w:val="0"/>
        <w:numPr>
          <w:ilvl w:val="0"/>
          <w:numId w:val="0"/>
        </w:numPr>
        <w:kinsoku/>
        <w:overflowPunct/>
        <w:topLinePunct w:val="0"/>
        <w:autoSpaceDE/>
        <w:autoSpaceDN/>
        <w:bidi w:val="0"/>
        <w:adjustRightInd/>
        <w:snapToGrid/>
        <w:spacing w:line="360" w:lineRule="auto"/>
        <w:ind w:left="0" w:leftChars="0" w:firstLine="420" w:firstLineChars="175"/>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分值汇总计算错误的；</w:t>
      </w:r>
    </w:p>
    <w:p w14:paraId="0ACD3117">
      <w:pPr>
        <w:pStyle w:val="314"/>
        <w:pageBreakBefore w:val="0"/>
        <w:widowControl w:val="0"/>
        <w:numPr>
          <w:ilvl w:val="0"/>
          <w:numId w:val="0"/>
        </w:numPr>
        <w:kinsoku/>
        <w:overflowPunct/>
        <w:topLinePunct w:val="0"/>
        <w:autoSpaceDE/>
        <w:autoSpaceDN/>
        <w:bidi w:val="0"/>
        <w:adjustRightInd/>
        <w:snapToGrid/>
        <w:spacing w:line="360" w:lineRule="auto"/>
        <w:ind w:left="0" w:leftChars="0" w:firstLine="420" w:firstLineChars="175"/>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分项评分超出评分标准范围的；</w:t>
      </w:r>
    </w:p>
    <w:p w14:paraId="7C2D400C">
      <w:pPr>
        <w:pStyle w:val="314"/>
        <w:pageBreakBefore w:val="0"/>
        <w:widowControl w:val="0"/>
        <w:numPr>
          <w:ilvl w:val="0"/>
          <w:numId w:val="0"/>
        </w:numPr>
        <w:kinsoku/>
        <w:overflowPunct/>
        <w:topLinePunct w:val="0"/>
        <w:autoSpaceDE/>
        <w:autoSpaceDN/>
        <w:bidi w:val="0"/>
        <w:adjustRightInd/>
        <w:snapToGrid/>
        <w:spacing w:line="360" w:lineRule="auto"/>
        <w:ind w:left="0" w:leftChars="0" w:firstLine="420" w:firstLineChars="175"/>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评标委员会成员对客观评审因素评分不一致的；</w:t>
      </w:r>
    </w:p>
    <w:p w14:paraId="441F2036">
      <w:pPr>
        <w:pStyle w:val="314"/>
        <w:pageBreakBefore w:val="0"/>
        <w:widowControl w:val="0"/>
        <w:numPr>
          <w:ilvl w:val="0"/>
          <w:numId w:val="0"/>
        </w:numPr>
        <w:kinsoku/>
        <w:overflowPunct/>
        <w:topLinePunct w:val="0"/>
        <w:autoSpaceDE/>
        <w:autoSpaceDN/>
        <w:bidi w:val="0"/>
        <w:adjustRightInd/>
        <w:snapToGrid/>
        <w:spacing w:line="360" w:lineRule="auto"/>
        <w:ind w:left="0" w:leftChars="0" w:firstLine="420" w:firstLineChars="175"/>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经评标委员会认定评分畸高、畸低的。</w:t>
      </w:r>
    </w:p>
    <w:p w14:paraId="72FFDF4D">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（3）各投标人的最终得分为评标委员会所有成员对各投标人评标得分汇总后的算术平均值。</w:t>
      </w:r>
    </w:p>
    <w:p w14:paraId="1B1472D3">
      <w:pPr>
        <w:pStyle w:val="314"/>
        <w:pageBreakBefore w:val="0"/>
        <w:widowControl w:val="0"/>
        <w:kinsoku/>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10.最低评标价法</w:t>
      </w:r>
    </w:p>
    <w:p w14:paraId="6BBD0872">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10.1除算术修正和落实政府采购政策的价格扣除外，不对投标报价进行调整。</w:t>
      </w:r>
    </w:p>
    <w:p w14:paraId="6DC1F949">
      <w:pPr>
        <w:pStyle w:val="314"/>
        <w:pageBreakBefore w:val="0"/>
        <w:widowControl w:val="0"/>
        <w:kinsoku/>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11.政府采购政策评审</w:t>
      </w:r>
    </w:p>
    <w:p w14:paraId="7ECC085A">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11.1价格扣除</w:t>
      </w:r>
    </w:p>
    <w:p w14:paraId="3D8FF6F7">
      <w:pPr>
        <w:pStyle w:val="314"/>
        <w:pageBreakBefore w:val="0"/>
        <w:widowControl w:val="0"/>
        <w:numPr>
          <w:ilvl w:val="0"/>
          <w:numId w:val="0"/>
        </w:numPr>
        <w:kinsoku/>
        <w:overflowPunct/>
        <w:topLinePunct w:val="0"/>
        <w:autoSpaceDE/>
        <w:autoSpaceDN/>
        <w:bidi w:val="0"/>
        <w:adjustRightInd/>
        <w:snapToGrid/>
        <w:spacing w:line="360" w:lineRule="auto"/>
        <w:ind w:left="0" w:leftChars="0" w:firstLine="420" w:firstLineChars="1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非专门面向中小企业的采购项目或采购包，对符合规定的小微企业（监狱企业、残疾人福利性单位、联合体各方均为小微企业的联合体、符合小微企业划分标准的个体工商户视同小微企业）报价按照本招标文件”投标人须知前附表”中的规定扣除，对小微企业中的监狱企业、残疾人福利性单位、采购产品纳入创新产品应用示范推荐目录内企业、采购产品获得节能产品或环境标志产品认证证书的企业报价按照本招标文件”投标人须知前附表”中的规定扣除，用扣除后的价格参加评审。</w:t>
      </w:r>
    </w:p>
    <w:p w14:paraId="260D7BD3">
      <w:pPr>
        <w:pStyle w:val="314"/>
        <w:pageBreakBefore w:val="0"/>
        <w:widowControl w:val="0"/>
        <w:numPr>
          <w:ilvl w:val="0"/>
          <w:numId w:val="0"/>
        </w:numPr>
        <w:kinsoku/>
        <w:overflowPunct/>
        <w:topLinePunct w:val="0"/>
        <w:autoSpaceDE/>
        <w:autoSpaceDN/>
        <w:bidi w:val="0"/>
        <w:adjustRightInd/>
        <w:snapToGrid/>
        <w:spacing w:line="360" w:lineRule="auto"/>
        <w:ind w:left="0" w:leftChars="0" w:firstLine="420" w:firstLineChars="175"/>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参加政府采购活动的小微企业（含节能环保、创新产品企业）未提供“中小企业声明函”的；监狱企业未提供“监狱企业证明文件”的；监狱企业中的小微企业未提供“中小企业声明函”的；残疾人福利性单位未提供“残疾人福利性单位声明函”的；残疾人福利性单位中的小微企业未提供“中小企业声明函”的；不得享受相应的价格扣除优惠。组成联合体或者接受分包的小微企业与联合体内其他企业、分包企业之间存在直接控股、管理关系的，不得享受价格扣除优惠。</w:t>
      </w:r>
    </w:p>
    <w:p w14:paraId="029C1D38">
      <w:pPr>
        <w:pStyle w:val="314"/>
        <w:pageBreakBefore w:val="0"/>
        <w:widowControl w:val="0"/>
        <w:numPr>
          <w:ilvl w:val="0"/>
          <w:numId w:val="0"/>
        </w:numPr>
        <w:kinsoku/>
        <w:overflowPunct/>
        <w:topLinePunct w:val="0"/>
        <w:autoSpaceDE/>
        <w:autoSpaceDN/>
        <w:bidi w:val="0"/>
        <w:adjustRightInd/>
        <w:snapToGrid/>
        <w:spacing w:line="360" w:lineRule="auto"/>
        <w:ind w:left="0" w:leftChars="0" w:firstLine="420" w:firstLineChars="175"/>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专门面向中小企业、预留部分采购份额面向中小企业采购的项目或采购包，评审时不再进行价格扣除。</w:t>
      </w:r>
    </w:p>
    <w:p w14:paraId="64B75D85">
      <w:pPr>
        <w:pStyle w:val="314"/>
        <w:pageBreakBefore w:val="0"/>
        <w:widowControl w:val="0"/>
        <w:kinsoku/>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12.相同品牌处理原则</w:t>
      </w:r>
    </w:p>
    <w:p w14:paraId="3E3E39F5">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12.1单一产品采购（或非单一产品采购中的核心产品），提供相同品牌产品且通过资格审查、符合性审查的不同投标人参加同一合同项下投标的，按一家投标人计算，评审后中标候选人推荐资格方式见“评标办法前附表”；</w:t>
      </w:r>
    </w:p>
    <w:p w14:paraId="5B2113C0">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12.2非单一产品采购项目，采购人应当根据采购项目技术构成、产品价格比重等合理确定一个核心产品（采购清单中作“与核心产品相同〈或同一〉品牌”实质性要求的产品，视为一个核心产品），并以“核心产品”在招标文件中载明，评审时按前款规定处理。</w:t>
      </w:r>
    </w:p>
    <w:bookmarkEnd w:id="252"/>
    <w:bookmarkEnd w:id="253"/>
    <w:bookmarkEnd w:id="254"/>
    <w:bookmarkEnd w:id="255"/>
    <w:bookmarkEnd w:id="256"/>
    <w:bookmarkEnd w:id="257"/>
    <w:bookmarkEnd w:id="258"/>
    <w:p w14:paraId="24CEDC3D">
      <w:pPr>
        <w:pStyle w:val="4"/>
        <w:pageBreakBefore w:val="0"/>
        <w:widowControl w:val="0"/>
        <w:numPr>
          <w:ilvl w:val="0"/>
          <w:numId w:val="9"/>
        </w:numPr>
        <w:kinsoku/>
        <w:overflowPunct/>
        <w:topLinePunct w:val="0"/>
        <w:autoSpaceDE/>
        <w:autoSpaceDN/>
        <w:bidi w:val="0"/>
        <w:adjustRightInd/>
        <w:snapToGrid/>
        <w:spacing w:before="0" w:after="0" w:line="360" w:lineRule="auto"/>
        <w:ind w:left="0" w:firstLine="482" w:firstLineChars="200"/>
        <w:jc w:val="left"/>
        <w:textAlignment w:val="auto"/>
        <w:rPr>
          <w:rFonts w:hint="eastAsia" w:ascii="仿宋" w:hAnsi="仿宋" w:eastAsia="仿宋" w:cs="仿宋"/>
          <w:sz w:val="24"/>
          <w:szCs w:val="24"/>
          <w:lang w:val="zh-CN"/>
        </w:rPr>
      </w:pPr>
      <w:bookmarkStart w:id="260" w:name="_Toc102116054"/>
      <w:bookmarkStart w:id="261" w:name="_Toc102057750"/>
      <w:bookmarkStart w:id="262" w:name="_Toc102119885"/>
      <w:bookmarkStart w:id="263" w:name="_Toc163492905"/>
      <w:bookmarkStart w:id="264" w:name="_Toc102114952"/>
      <w:bookmarkStart w:id="265" w:name="_Toc102116184"/>
      <w:bookmarkStart w:id="266" w:name="_Toc102056250"/>
      <w:bookmarkStart w:id="267" w:name="_Toc155185912"/>
      <w:r>
        <w:rPr>
          <w:rFonts w:hint="eastAsia" w:ascii="仿宋" w:hAnsi="仿宋" w:eastAsia="仿宋" w:cs="仿宋"/>
          <w:sz w:val="24"/>
          <w:szCs w:val="24"/>
          <w:lang w:val="zh-CN"/>
        </w:rPr>
        <w:t>评标报告</w:t>
      </w:r>
      <w:bookmarkEnd w:id="260"/>
      <w:bookmarkEnd w:id="261"/>
      <w:bookmarkEnd w:id="262"/>
      <w:bookmarkEnd w:id="263"/>
      <w:bookmarkEnd w:id="264"/>
      <w:bookmarkEnd w:id="265"/>
      <w:bookmarkEnd w:id="266"/>
      <w:bookmarkEnd w:id="267"/>
    </w:p>
    <w:p w14:paraId="77F0C3C7">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13.评标委员会按照招标文件确定的评标方法、程序及标准，对投标文件进行评审。中标候选人排序方式见“评标办法前附表”。</w:t>
      </w:r>
    </w:p>
    <w:p w14:paraId="392160F6">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14.评标委员会依据评标结果，向采购人推荐中标候选人名单，并形成评标报告。</w:t>
      </w:r>
    </w:p>
    <w:p w14:paraId="58AC2111">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15.评标委员会应当在评标报告上签名，对自己的评审意见承担法律责任。对需要共同认定的事项存在争议的，应当按照少数服从多数的原则作出结论。持不同意见的评标委员会成员应当在评标报告上签署不同意见，并说明理由，否则视为同意评标报告。</w:t>
      </w:r>
    </w:p>
    <w:p w14:paraId="33D0BD70">
      <w:pPr>
        <w:pStyle w:val="4"/>
        <w:pageBreakBefore w:val="0"/>
        <w:widowControl w:val="0"/>
        <w:numPr>
          <w:ilvl w:val="0"/>
          <w:numId w:val="9"/>
        </w:numPr>
        <w:kinsoku/>
        <w:overflowPunct/>
        <w:topLinePunct w:val="0"/>
        <w:autoSpaceDE/>
        <w:autoSpaceDN/>
        <w:bidi w:val="0"/>
        <w:adjustRightInd/>
        <w:snapToGrid/>
        <w:spacing w:before="0" w:after="0" w:line="360" w:lineRule="auto"/>
        <w:ind w:left="0" w:firstLine="482" w:firstLineChars="200"/>
        <w:jc w:val="left"/>
        <w:textAlignment w:val="auto"/>
        <w:rPr>
          <w:rFonts w:hint="eastAsia" w:ascii="仿宋" w:hAnsi="仿宋" w:eastAsia="仿宋" w:cs="仿宋"/>
          <w:sz w:val="24"/>
          <w:szCs w:val="24"/>
          <w:lang w:val="zh-CN"/>
        </w:rPr>
      </w:pPr>
      <w:bookmarkStart w:id="268" w:name="_Toc102056217"/>
      <w:bookmarkStart w:id="269" w:name="_Toc102057717"/>
      <w:bookmarkStart w:id="270" w:name="_Toc102116021"/>
      <w:bookmarkStart w:id="271" w:name="_Toc163492906"/>
      <w:bookmarkStart w:id="272" w:name="_Toc102116151"/>
      <w:bookmarkStart w:id="273" w:name="_Toc155185913"/>
      <w:bookmarkStart w:id="274" w:name="_Toc102119852"/>
      <w:bookmarkStart w:id="275" w:name="_Toc102114919"/>
      <w:r>
        <w:rPr>
          <w:rFonts w:hint="eastAsia" w:ascii="仿宋" w:hAnsi="仿宋" w:eastAsia="仿宋" w:cs="仿宋"/>
          <w:sz w:val="24"/>
          <w:szCs w:val="24"/>
          <w:lang w:val="zh-CN"/>
        </w:rPr>
        <w:t>应予废标的情形</w:t>
      </w:r>
      <w:bookmarkEnd w:id="268"/>
      <w:bookmarkEnd w:id="269"/>
      <w:bookmarkEnd w:id="270"/>
      <w:bookmarkEnd w:id="271"/>
      <w:bookmarkEnd w:id="272"/>
      <w:bookmarkEnd w:id="273"/>
      <w:bookmarkEnd w:id="274"/>
      <w:bookmarkEnd w:id="275"/>
    </w:p>
    <w:p w14:paraId="483F85CE">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16.在招标采购过程中，出现下列情形之一的，应予</w:t>
      </w:r>
      <w:r>
        <w:rPr>
          <w:rFonts w:hint="eastAsia" w:ascii="仿宋" w:hAnsi="仿宋" w:eastAsia="仿宋" w:cs="仿宋"/>
          <w:b/>
          <w:bCs/>
          <w:sz w:val="24"/>
          <w:szCs w:val="24"/>
        </w:rPr>
        <w:t>废标</w:t>
      </w:r>
      <w:r>
        <w:rPr>
          <w:rFonts w:hint="eastAsia" w:ascii="仿宋" w:hAnsi="仿宋" w:eastAsia="仿宋" w:cs="仿宋"/>
          <w:sz w:val="24"/>
          <w:szCs w:val="24"/>
        </w:rPr>
        <w:t>：</w:t>
      </w:r>
    </w:p>
    <w:p w14:paraId="61F1A9F2">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16.1符合专业条件的供应商或者对招标文件作实质响应的供应商不足3家的；</w:t>
      </w:r>
    </w:p>
    <w:p w14:paraId="15704414">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16.2出现影响采购公正的违法、违规行为的；</w:t>
      </w:r>
    </w:p>
    <w:p w14:paraId="3B36CB2E">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16.3投标人的报价均超过了采购预算，采购人不能支付的；</w:t>
      </w:r>
    </w:p>
    <w:p w14:paraId="0FE52DCB">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16.4因重大变故，采购任务取消的。</w:t>
      </w:r>
    </w:p>
    <w:p w14:paraId="6A09CCCF">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17.废标后，采购人应当将废标理由通知所有投标人。</w:t>
      </w:r>
    </w:p>
    <w:p w14:paraId="021EF546">
      <w:pPr>
        <w:pStyle w:val="4"/>
        <w:pageBreakBefore w:val="0"/>
        <w:widowControl w:val="0"/>
        <w:numPr>
          <w:ilvl w:val="0"/>
          <w:numId w:val="9"/>
        </w:numPr>
        <w:kinsoku/>
        <w:overflowPunct/>
        <w:topLinePunct w:val="0"/>
        <w:autoSpaceDE/>
        <w:autoSpaceDN/>
        <w:bidi w:val="0"/>
        <w:adjustRightInd/>
        <w:snapToGrid/>
        <w:spacing w:before="0" w:after="0" w:line="360" w:lineRule="auto"/>
        <w:ind w:left="0" w:firstLine="482" w:firstLineChars="200"/>
        <w:jc w:val="left"/>
        <w:textAlignment w:val="auto"/>
        <w:rPr>
          <w:rFonts w:hint="eastAsia" w:ascii="仿宋" w:hAnsi="仿宋" w:eastAsia="仿宋" w:cs="仿宋"/>
          <w:sz w:val="24"/>
          <w:szCs w:val="24"/>
          <w:lang w:val="zh-CN"/>
        </w:rPr>
      </w:pPr>
      <w:bookmarkStart w:id="276" w:name="_Toc102057718"/>
      <w:bookmarkStart w:id="277" w:name="_Toc163492907"/>
      <w:bookmarkStart w:id="278" w:name="_Toc102116152"/>
      <w:bookmarkStart w:id="279" w:name="_Toc102114920"/>
      <w:bookmarkStart w:id="280" w:name="_Toc155185914"/>
      <w:bookmarkStart w:id="281" w:name="_Toc102056218"/>
      <w:bookmarkStart w:id="282" w:name="_Toc102116022"/>
      <w:bookmarkStart w:id="283" w:name="_Toc102119853"/>
      <w:r>
        <w:rPr>
          <w:rFonts w:hint="eastAsia" w:ascii="仿宋" w:hAnsi="仿宋" w:eastAsia="仿宋" w:cs="仿宋"/>
          <w:sz w:val="24"/>
          <w:szCs w:val="24"/>
          <w:lang w:val="zh-CN"/>
        </w:rPr>
        <w:t>停止评标的情形</w:t>
      </w:r>
      <w:bookmarkEnd w:id="276"/>
      <w:bookmarkEnd w:id="277"/>
      <w:bookmarkEnd w:id="278"/>
      <w:bookmarkEnd w:id="279"/>
      <w:bookmarkEnd w:id="280"/>
      <w:bookmarkEnd w:id="281"/>
      <w:bookmarkEnd w:id="282"/>
      <w:bookmarkEnd w:id="283"/>
    </w:p>
    <w:p w14:paraId="5FAE8BCC">
      <w:pPr>
        <w:pStyle w:val="314"/>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18.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bookmarkEnd w:id="248"/>
      <w:bookmarkEnd w:id="249"/>
      <w:bookmarkEnd w:id="250"/>
    </w:p>
    <w:p w14:paraId="5EFFE854">
      <w:pPr>
        <w:pStyle w:val="3"/>
        <w:pageBreakBefore w:val="0"/>
        <w:widowControl w:val="0"/>
        <w:numPr>
          <w:ilvl w:val="0"/>
          <w:numId w:val="8"/>
        </w:numPr>
        <w:kinsoku/>
        <w:overflowPunct/>
        <w:topLinePunct w:val="0"/>
        <w:autoSpaceDE/>
        <w:autoSpaceDN/>
        <w:bidi w:val="0"/>
        <w:adjustRightInd/>
        <w:snapToGrid/>
        <w:spacing w:before="0" w:after="0" w:line="360" w:lineRule="auto"/>
        <w:ind w:left="0" w:firstLine="482" w:firstLineChars="200"/>
        <w:textAlignment w:val="auto"/>
        <w:rPr>
          <w:rFonts w:hint="eastAsia" w:ascii="仿宋" w:hAnsi="仿宋" w:eastAsia="仿宋" w:cs="仿宋"/>
          <w:sz w:val="24"/>
          <w:szCs w:val="24"/>
          <w:lang w:val="zh-CN"/>
        </w:rPr>
      </w:pPr>
      <w:bookmarkStart w:id="284" w:name="_Toc163492908"/>
      <w:bookmarkStart w:id="285" w:name="_Toc155185915"/>
      <w:bookmarkStart w:id="286" w:name="_Toc18216"/>
      <w:r>
        <w:rPr>
          <w:rFonts w:hint="eastAsia" w:ascii="仿宋" w:hAnsi="仿宋" w:eastAsia="仿宋" w:cs="仿宋"/>
          <w:sz w:val="24"/>
          <w:szCs w:val="24"/>
          <w:lang w:val="zh-CN"/>
        </w:rPr>
        <w:t>评标标准</w:t>
      </w:r>
      <w:bookmarkEnd w:id="284"/>
      <w:bookmarkEnd w:id="285"/>
      <w:bookmarkEnd w:id="286"/>
    </w:p>
    <w:p w14:paraId="005173C5">
      <w:pPr>
        <w:pStyle w:val="4"/>
        <w:pageBreakBefore w:val="0"/>
        <w:widowControl w:val="0"/>
        <w:numPr>
          <w:ilvl w:val="0"/>
          <w:numId w:val="10"/>
        </w:numPr>
        <w:kinsoku/>
        <w:overflowPunct/>
        <w:topLinePunct w:val="0"/>
        <w:autoSpaceDE/>
        <w:autoSpaceDN/>
        <w:bidi w:val="0"/>
        <w:adjustRightInd/>
        <w:snapToGrid/>
        <w:spacing w:before="0" w:after="0" w:line="360" w:lineRule="auto"/>
        <w:ind w:left="0" w:firstLine="482" w:firstLineChars="200"/>
        <w:jc w:val="left"/>
        <w:textAlignment w:val="auto"/>
        <w:rPr>
          <w:rFonts w:hint="eastAsia" w:ascii="仿宋" w:hAnsi="仿宋" w:eastAsia="仿宋" w:cs="仿宋"/>
          <w:sz w:val="24"/>
          <w:szCs w:val="24"/>
          <w:lang w:val="zh-CN"/>
        </w:rPr>
      </w:pPr>
      <w:bookmarkStart w:id="287" w:name="_Toc163492909"/>
      <w:r>
        <w:rPr>
          <w:rFonts w:hint="eastAsia" w:ascii="仿宋" w:hAnsi="仿宋" w:eastAsia="仿宋" w:cs="仿宋"/>
          <w:sz w:val="24"/>
          <w:szCs w:val="24"/>
          <w:lang w:val="zh-CN"/>
        </w:rPr>
        <w:t>符合性审查表</w:t>
      </w:r>
      <w:bookmarkEnd w:id="287"/>
    </w:p>
    <w:tbl>
      <w:tblPr>
        <w:tblStyle w:val="49"/>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7532"/>
      </w:tblGrid>
      <w:tr w14:paraId="156A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shd w:val="clear" w:color="auto" w:fill="BEBEBE"/>
            <w:noWrap/>
            <w:vAlign w:val="center"/>
          </w:tcPr>
          <w:p w14:paraId="1F1EB57D">
            <w:pPr>
              <w:widowControl/>
              <w:adjustRightInd w:val="0"/>
              <w:snapToGrid w:val="0"/>
              <w:spacing w:line="40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4521" w:type="pct"/>
            <w:shd w:val="clear" w:color="auto" w:fill="BEBEBE"/>
            <w:noWrap/>
            <w:vAlign w:val="center"/>
          </w:tcPr>
          <w:p w14:paraId="0730CFC1">
            <w:pPr>
              <w:adjustRightInd w:val="0"/>
              <w:snapToGrid w:val="0"/>
              <w:spacing w:line="40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审核内容</w:t>
            </w:r>
          </w:p>
        </w:tc>
      </w:tr>
      <w:tr w14:paraId="6279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7769BF3E">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394D2B50">
            <w:pPr>
              <w:widowControl/>
              <w:adjustRightInd w:val="0"/>
              <w:snapToGrid w:val="0"/>
              <w:spacing w:line="400" w:lineRule="exact"/>
              <w:rPr>
                <w:rFonts w:hint="default" w:ascii="仿宋" w:hAnsi="仿宋" w:eastAsia="仿宋" w:cs="仿宋"/>
                <w:color w:val="000000"/>
                <w:kern w:val="0"/>
                <w:sz w:val="24"/>
                <w:lang w:val="en-US" w:eastAsia="zh-CN"/>
              </w:rPr>
            </w:pPr>
            <w:r>
              <w:rPr>
                <w:rFonts w:hint="default" w:ascii="仿宋" w:hAnsi="仿宋" w:eastAsia="仿宋" w:cs="仿宋"/>
                <w:color w:val="auto"/>
                <w:kern w:val="0"/>
                <w:sz w:val="24"/>
                <w:lang w:val="en-US" w:eastAsia="zh-CN"/>
              </w:rPr>
              <w:t>投标报价未超过折扣100%</w:t>
            </w:r>
          </w:p>
        </w:tc>
      </w:tr>
      <w:tr w14:paraId="1C75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49F91B62">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7FBBE5E8">
            <w:pPr>
              <w:adjustRightInd w:val="0"/>
              <w:snapToGrid w:val="0"/>
              <w:spacing w:line="400" w:lineRule="exact"/>
              <w:rPr>
                <w:rFonts w:hint="eastAsia" w:ascii="仿宋" w:hAnsi="仿宋" w:eastAsia="仿宋" w:cs="仿宋"/>
                <w:color w:val="000000"/>
                <w:sz w:val="24"/>
                <w:lang w:eastAsia="zh-CN"/>
              </w:rPr>
            </w:pPr>
            <w:r>
              <w:rPr>
                <w:rFonts w:hint="eastAsia" w:ascii="仿宋" w:hAnsi="仿宋" w:eastAsia="仿宋" w:cs="仿宋"/>
                <w:color w:val="000000"/>
                <w:sz w:val="24"/>
              </w:rPr>
              <w:t>投标人按招标文件要求提供《投标书》《法定代表人授权书》《</w:t>
            </w:r>
            <w:r>
              <w:rPr>
                <w:rFonts w:hint="eastAsia" w:ascii="仿宋" w:hAnsi="仿宋" w:eastAsia="仿宋" w:cs="仿宋"/>
                <w:color w:val="000000"/>
                <w:sz w:val="24"/>
                <w:lang w:val="en-US" w:eastAsia="zh-CN"/>
              </w:rPr>
              <w:t>开</w:t>
            </w:r>
            <w:r>
              <w:rPr>
                <w:rFonts w:hint="eastAsia" w:ascii="仿宋" w:hAnsi="仿宋" w:eastAsia="仿宋" w:cs="仿宋"/>
                <w:color w:val="000000"/>
                <w:sz w:val="24"/>
              </w:rPr>
              <w:t>标一览表》</w:t>
            </w:r>
          </w:p>
        </w:tc>
      </w:tr>
      <w:tr w14:paraId="41D0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1B439EF8">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110BAA5D">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kern w:val="0"/>
                <w:sz w:val="24"/>
                <w:lang w:val="en-US" w:eastAsia="zh-CN"/>
              </w:rPr>
              <w:t>未</w:t>
            </w:r>
            <w:r>
              <w:rPr>
                <w:rFonts w:hint="eastAsia" w:ascii="仿宋" w:hAnsi="仿宋" w:eastAsia="仿宋" w:cs="仿宋"/>
                <w:color w:val="000000"/>
                <w:sz w:val="24"/>
              </w:rPr>
              <w:t>出现两个或两个以上不同报价</w:t>
            </w:r>
          </w:p>
        </w:tc>
      </w:tr>
      <w:tr w14:paraId="0A3C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7330EC8F">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35D52674">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sz w:val="24"/>
              </w:rPr>
              <w:t>满足招标文件“*”条款要求</w:t>
            </w:r>
          </w:p>
        </w:tc>
      </w:tr>
      <w:tr w14:paraId="297C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2052CE45">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44C8B903">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kern w:val="0"/>
                <w:sz w:val="24"/>
                <w:lang w:val="en-US" w:eastAsia="zh-CN"/>
              </w:rPr>
              <w:t>未</w:t>
            </w:r>
            <w:r>
              <w:rPr>
                <w:rFonts w:hint="eastAsia" w:ascii="仿宋" w:hAnsi="仿宋" w:eastAsia="仿宋" w:cs="仿宋"/>
                <w:color w:val="000000"/>
                <w:sz w:val="24"/>
              </w:rPr>
              <w:t>出现两个或两个以上投标方案的（招标文件中要求提供备选方案的除外）</w:t>
            </w:r>
          </w:p>
        </w:tc>
      </w:tr>
      <w:tr w14:paraId="6D1B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7C99C598">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7A5D2CC3">
            <w:pPr>
              <w:widowControl/>
              <w:adjustRightInd w:val="0"/>
              <w:snapToGrid w:val="0"/>
              <w:spacing w:line="400" w:lineRule="exact"/>
              <w:rPr>
                <w:rFonts w:ascii="仿宋" w:hAnsi="仿宋" w:eastAsia="仿宋" w:cs="仿宋"/>
                <w:color w:val="000000"/>
                <w:sz w:val="24"/>
              </w:rPr>
            </w:pPr>
            <w:r>
              <w:rPr>
                <w:rFonts w:ascii="仿宋" w:hAnsi="仿宋" w:eastAsia="仿宋" w:cs="仿宋"/>
                <w:color w:val="000000"/>
                <w:sz w:val="24"/>
                <w:lang w:val="zh-CN"/>
              </w:rPr>
              <w:t>投标报价不存在缺项、漏项</w:t>
            </w:r>
          </w:p>
        </w:tc>
      </w:tr>
      <w:tr w14:paraId="00C6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42DDB47A">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2E59DB68">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sz w:val="24"/>
                <w:lang w:val="zh-CN"/>
              </w:rPr>
              <w:t>投标有效期满足招标文件要求</w:t>
            </w:r>
          </w:p>
        </w:tc>
      </w:tr>
      <w:tr w14:paraId="3AF0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2416AB5A">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7E9D03AB">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sz w:val="24"/>
              </w:rPr>
              <w:t>按照招标文件要求签署、盖章</w:t>
            </w:r>
          </w:p>
        </w:tc>
      </w:tr>
      <w:tr w14:paraId="3313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289BF5D0">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3DC0AC2D">
            <w:pPr>
              <w:widowControl/>
              <w:adjustRightInd w:val="0"/>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投标人</w:t>
            </w:r>
            <w:r>
              <w:rPr>
                <w:rFonts w:hint="eastAsia" w:ascii="仿宋" w:hAnsi="仿宋" w:eastAsia="仿宋" w:cs="仿宋"/>
                <w:color w:val="000000"/>
                <w:sz w:val="24"/>
                <w:lang w:val="en-US" w:eastAsia="zh-CN"/>
              </w:rPr>
              <w:t>按照</w:t>
            </w:r>
            <w:r>
              <w:rPr>
                <w:rFonts w:hint="eastAsia" w:ascii="仿宋" w:hAnsi="仿宋" w:eastAsia="仿宋" w:cs="仿宋"/>
                <w:color w:val="000000"/>
                <w:sz w:val="24"/>
              </w:rPr>
              <w:t>招标文件要求提供投标文件电子版的</w:t>
            </w:r>
          </w:p>
        </w:tc>
      </w:tr>
      <w:tr w14:paraId="3E46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50C548B6">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18547343">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sz w:val="24"/>
                <w:lang w:val="zh-CN"/>
              </w:rPr>
              <w:t>没有</w:t>
            </w:r>
            <w:r>
              <w:rPr>
                <w:rFonts w:ascii="仿宋" w:hAnsi="仿宋" w:eastAsia="仿宋" w:cs="仿宋"/>
                <w:color w:val="000000"/>
                <w:sz w:val="24"/>
                <w:lang w:val="zh-CN"/>
              </w:rPr>
              <w:t>采购人不能接受的附加条件</w:t>
            </w:r>
          </w:p>
        </w:tc>
      </w:tr>
      <w:tr w14:paraId="3B5C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2DDBA5D0">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37E27DD0">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kern w:val="0"/>
                <w:sz w:val="24"/>
              </w:rPr>
              <w:t>投标人</w:t>
            </w:r>
            <w:r>
              <w:rPr>
                <w:rFonts w:hint="eastAsia" w:ascii="仿宋" w:hAnsi="仿宋" w:eastAsia="仿宋" w:cs="仿宋"/>
                <w:color w:val="000000"/>
                <w:kern w:val="0"/>
                <w:sz w:val="24"/>
                <w:lang w:val="en-US" w:eastAsia="zh-CN"/>
              </w:rPr>
              <w:t>未</w:t>
            </w:r>
            <w:r>
              <w:rPr>
                <w:rFonts w:hint="eastAsia" w:ascii="仿宋" w:hAnsi="仿宋" w:eastAsia="仿宋" w:cs="仿宋"/>
                <w:color w:val="000000"/>
                <w:kern w:val="0"/>
                <w:sz w:val="24"/>
              </w:rPr>
              <w:t>出现</w:t>
            </w:r>
            <w:r>
              <w:rPr>
                <w:rFonts w:hint="eastAsia" w:ascii="仿宋" w:hAnsi="仿宋" w:eastAsia="仿宋" w:cs="仿宋"/>
                <w:color w:val="000000"/>
                <w:sz w:val="24"/>
              </w:rPr>
              <w:t>联合体投标的</w:t>
            </w:r>
          </w:p>
        </w:tc>
      </w:tr>
      <w:tr w14:paraId="7E8B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1DC62DA7">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15D12F96">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sz w:val="24"/>
              </w:rPr>
              <w:t>投标人</w:t>
            </w:r>
            <w:r>
              <w:rPr>
                <w:rFonts w:hint="eastAsia" w:ascii="仿宋" w:hAnsi="仿宋" w:eastAsia="仿宋" w:cs="仿宋"/>
                <w:color w:val="000000"/>
                <w:kern w:val="0"/>
                <w:sz w:val="24"/>
                <w:lang w:val="en-US" w:eastAsia="zh-CN"/>
              </w:rPr>
              <w:t>未</w:t>
            </w:r>
            <w:r>
              <w:rPr>
                <w:rFonts w:hint="eastAsia" w:ascii="仿宋" w:hAnsi="仿宋" w:eastAsia="仿宋" w:cs="仿宋"/>
                <w:color w:val="000000"/>
                <w:sz w:val="24"/>
              </w:rPr>
              <w:t>在投标过程中使用不真实材料的</w:t>
            </w:r>
          </w:p>
        </w:tc>
      </w:tr>
      <w:tr w14:paraId="6F10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7996F4BC">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7935C838">
            <w:pPr>
              <w:widowControl/>
              <w:adjustRightInd w:val="0"/>
              <w:snapToGrid w:val="0"/>
              <w:spacing w:line="400" w:lineRule="exact"/>
              <w:rPr>
                <w:rFonts w:ascii="仿宋" w:hAnsi="仿宋" w:eastAsia="仿宋" w:cs="仿宋"/>
                <w:color w:val="000000"/>
                <w:sz w:val="24"/>
              </w:rPr>
            </w:pPr>
            <w:r>
              <w:rPr>
                <w:rFonts w:hint="eastAsia" w:ascii="仿宋" w:hAnsi="仿宋" w:eastAsia="仿宋" w:cs="仿宋"/>
                <w:color w:val="000000"/>
                <w:sz w:val="24"/>
              </w:rPr>
              <w:t>投标人未出现影响采购公正的违规、违法行为的</w:t>
            </w:r>
          </w:p>
        </w:tc>
      </w:tr>
      <w:tr w14:paraId="2772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7682B6EC">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703C66E0">
            <w:pPr>
              <w:widowControl/>
              <w:adjustRightInd w:val="0"/>
              <w:snapToGrid w:val="0"/>
              <w:spacing w:line="400" w:lineRule="exact"/>
              <w:rPr>
                <w:rFonts w:ascii="仿宋" w:hAnsi="仿宋" w:eastAsia="仿宋" w:cs="仿宋"/>
                <w:color w:val="000000"/>
                <w:kern w:val="0"/>
                <w:sz w:val="24"/>
              </w:rPr>
            </w:pPr>
            <w:r>
              <w:rPr>
                <w:rFonts w:hint="eastAsia" w:ascii="仿宋" w:hAnsi="仿宋" w:eastAsia="仿宋" w:cs="仿宋"/>
                <w:color w:val="000000"/>
                <w:kern w:val="0"/>
                <w:sz w:val="24"/>
                <w:lang w:val="zh-CN"/>
              </w:rPr>
              <w:t>不存在</w:t>
            </w:r>
            <w:r>
              <w:rPr>
                <w:rFonts w:ascii="仿宋" w:hAnsi="仿宋" w:eastAsia="仿宋" w:cs="仿宋"/>
                <w:color w:val="000000"/>
                <w:kern w:val="0"/>
                <w:sz w:val="24"/>
                <w:lang w:val="zh-CN"/>
              </w:rPr>
              <w:t>法律、法规</w:t>
            </w:r>
            <w:r>
              <w:rPr>
                <w:rFonts w:hint="eastAsia" w:ascii="仿宋" w:hAnsi="仿宋" w:eastAsia="仿宋" w:cs="仿宋"/>
                <w:color w:val="000000"/>
                <w:kern w:val="0"/>
                <w:sz w:val="24"/>
                <w:lang w:val="zh-CN"/>
              </w:rPr>
              <w:t>和招标文件</w:t>
            </w:r>
            <w:r>
              <w:rPr>
                <w:rFonts w:ascii="仿宋" w:hAnsi="仿宋" w:eastAsia="仿宋" w:cs="仿宋"/>
                <w:color w:val="000000"/>
                <w:kern w:val="0"/>
                <w:sz w:val="24"/>
                <w:lang w:val="zh-CN"/>
              </w:rPr>
              <w:t>规定的其他</w:t>
            </w:r>
            <w:r>
              <w:rPr>
                <w:rFonts w:hint="eastAsia" w:ascii="仿宋" w:hAnsi="仿宋" w:eastAsia="仿宋" w:cs="仿宋"/>
                <w:color w:val="000000"/>
                <w:kern w:val="0"/>
                <w:sz w:val="24"/>
                <w:lang w:val="zh-CN"/>
              </w:rPr>
              <w:t>无效投标</w:t>
            </w:r>
            <w:r>
              <w:rPr>
                <w:rFonts w:ascii="仿宋" w:hAnsi="仿宋" w:eastAsia="仿宋" w:cs="仿宋"/>
                <w:color w:val="000000"/>
                <w:kern w:val="0"/>
                <w:sz w:val="24"/>
                <w:lang w:val="zh-CN"/>
              </w:rPr>
              <w:t>情形</w:t>
            </w:r>
          </w:p>
        </w:tc>
      </w:tr>
      <w:tr w14:paraId="5DB4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211E52D3">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ascii="仿宋" w:hAnsi="仿宋" w:eastAsia="仿宋" w:cs="仿宋"/>
                <w:color w:val="000000"/>
                <w:kern w:val="0"/>
                <w:sz w:val="24"/>
              </w:rPr>
            </w:pPr>
          </w:p>
        </w:tc>
        <w:tc>
          <w:tcPr>
            <w:tcW w:w="4521" w:type="pct"/>
            <w:noWrap/>
            <w:vAlign w:val="center"/>
          </w:tcPr>
          <w:p w14:paraId="121BE508">
            <w:pPr>
              <w:widowControl/>
              <w:adjustRightInd w:val="0"/>
              <w:snapToGrid w:val="0"/>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投标人不存在下列任一情形：</w:t>
            </w:r>
          </w:p>
          <w:p w14:paraId="22C1833F">
            <w:pPr>
              <w:widowControl/>
              <w:adjustRightInd w:val="0"/>
              <w:snapToGrid w:val="0"/>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（1）不同投标人的投标文件由同一单位或者个人编制</w:t>
            </w:r>
          </w:p>
          <w:p w14:paraId="2C15A53B">
            <w:pPr>
              <w:widowControl/>
              <w:adjustRightInd w:val="0"/>
              <w:snapToGrid w:val="0"/>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（2）不同投标人委托同一单位或者个人办理投标事宜</w:t>
            </w:r>
          </w:p>
          <w:p w14:paraId="5BD76ADA">
            <w:pPr>
              <w:widowControl/>
              <w:adjustRightInd w:val="0"/>
              <w:snapToGrid w:val="0"/>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（3）不同投标人的投标文件载明的项目管理成员或者联系人员为同一人</w:t>
            </w:r>
          </w:p>
          <w:p w14:paraId="42CDF48D">
            <w:pPr>
              <w:widowControl/>
              <w:adjustRightInd w:val="0"/>
              <w:snapToGrid w:val="0"/>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（4）不同投标人的投标文件异常一致或者投标报价呈规律性差异</w:t>
            </w:r>
          </w:p>
          <w:p w14:paraId="543382F9">
            <w:pPr>
              <w:widowControl/>
              <w:adjustRightInd w:val="0"/>
              <w:snapToGrid w:val="0"/>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（5）不同投标人的投标文件相互混装</w:t>
            </w:r>
          </w:p>
        </w:tc>
      </w:tr>
      <w:tr w14:paraId="24C6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78" w:type="pct"/>
            <w:noWrap/>
            <w:vAlign w:val="center"/>
          </w:tcPr>
          <w:p w14:paraId="601CB99E">
            <w:pPr>
              <w:keepNext w:val="0"/>
              <w:keepLines w:val="0"/>
              <w:pageBreakBefore w:val="0"/>
              <w:widowControl/>
              <w:numPr>
                <w:ilvl w:val="0"/>
                <w:numId w:val="11"/>
              </w:numPr>
              <w:kinsoku/>
              <w:wordWrap/>
              <w:overflowPunct/>
              <w:topLinePunct w:val="0"/>
              <w:autoSpaceDE/>
              <w:autoSpaceDN/>
              <w:bidi w:val="0"/>
              <w:adjustRightInd w:val="0"/>
              <w:snapToGrid w:val="0"/>
              <w:spacing w:line="400" w:lineRule="exact"/>
              <w:ind w:left="0" w:leftChars="0" w:firstLine="0" w:firstLineChars="0"/>
              <w:jc w:val="center"/>
              <w:textAlignment w:val="auto"/>
              <w:rPr>
                <w:rFonts w:hint="default" w:ascii="仿宋" w:hAnsi="仿宋" w:eastAsia="仿宋" w:cs="仿宋"/>
                <w:color w:val="000000"/>
                <w:kern w:val="0"/>
                <w:sz w:val="24"/>
                <w:lang w:val="en-US" w:eastAsia="zh-CN"/>
              </w:rPr>
            </w:pPr>
          </w:p>
        </w:tc>
        <w:tc>
          <w:tcPr>
            <w:tcW w:w="4521" w:type="pct"/>
            <w:noWrap/>
            <w:vAlign w:val="center"/>
          </w:tcPr>
          <w:p w14:paraId="5EFE4630">
            <w:pPr>
              <w:widowControl/>
              <w:adjustRightInd w:val="0"/>
              <w:snapToGrid w:val="0"/>
              <w:spacing w:line="400" w:lineRule="exact"/>
              <w:rPr>
                <w:rFonts w:ascii="仿宋" w:hAnsi="仿宋" w:eastAsia="仿宋" w:cs="仿宋"/>
                <w:color w:val="000000"/>
                <w:kern w:val="0"/>
                <w:sz w:val="24"/>
              </w:rPr>
            </w:pPr>
            <w:r>
              <w:rPr>
                <w:rFonts w:hint="eastAsia" w:ascii="仿宋" w:hAnsi="仿宋" w:eastAsia="仿宋" w:cs="仿宋"/>
                <w:color w:val="000000"/>
                <w:sz w:val="24"/>
              </w:rPr>
              <w:t>投标人不存在下列情形：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bl>
    <w:p w14:paraId="27619B6D">
      <w:pPr>
        <w:pStyle w:val="4"/>
        <w:keepNext/>
        <w:keepLines/>
        <w:pageBreakBefore w:val="0"/>
        <w:widowControl w:val="0"/>
        <w:numPr>
          <w:ilvl w:val="0"/>
          <w:numId w:val="10"/>
        </w:numPr>
        <w:kinsoku/>
        <w:wordWrap/>
        <w:overflowPunct/>
        <w:topLinePunct w:val="0"/>
        <w:autoSpaceDE/>
        <w:autoSpaceDN/>
        <w:bidi w:val="0"/>
        <w:adjustRightInd/>
        <w:snapToGrid/>
        <w:spacing w:before="157" w:beforeLines="50" w:after="0" w:line="360" w:lineRule="auto"/>
        <w:ind w:left="0" w:firstLine="482" w:firstLineChars="200"/>
        <w:jc w:val="left"/>
        <w:textAlignment w:val="auto"/>
        <w:rPr>
          <w:rFonts w:hint="eastAsia" w:ascii="仿宋" w:hAnsi="仿宋" w:eastAsia="仿宋" w:cs="仿宋"/>
          <w:sz w:val="24"/>
          <w:szCs w:val="24"/>
          <w:lang w:val="zh-CN"/>
        </w:rPr>
      </w:pPr>
      <w:bookmarkStart w:id="288" w:name="_Toc155185917"/>
      <w:bookmarkStart w:id="289" w:name="_Toc163492910"/>
      <w:r>
        <w:rPr>
          <w:rFonts w:hint="eastAsia" w:ascii="仿宋" w:hAnsi="仿宋" w:eastAsia="仿宋" w:cs="仿宋"/>
          <w:sz w:val="24"/>
          <w:szCs w:val="24"/>
          <w:lang w:val="zh-CN"/>
        </w:rPr>
        <w:t>评分标准</w:t>
      </w:r>
      <w:bookmarkEnd w:id="288"/>
      <w:r>
        <w:rPr>
          <w:rFonts w:hint="eastAsia" w:ascii="仿宋" w:hAnsi="仿宋" w:eastAsia="仿宋" w:cs="仿宋"/>
          <w:sz w:val="24"/>
          <w:szCs w:val="24"/>
          <w:lang w:val="zh-CN"/>
        </w:rPr>
        <w:t>【综合评标法适用】</w:t>
      </w:r>
      <w:bookmarkEnd w:id="289"/>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263"/>
        <w:gridCol w:w="904"/>
        <w:gridCol w:w="5051"/>
      </w:tblGrid>
      <w:tr w14:paraId="594F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shd w:val="clear" w:color="auto" w:fill="BEBEBE"/>
            <w:noWrap w:val="0"/>
            <w:vAlign w:val="center"/>
          </w:tcPr>
          <w:p w14:paraId="107DB34A">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b/>
                <w:bCs/>
                <w:color w:val="auto"/>
                <w:spacing w:val="4"/>
                <w:sz w:val="24"/>
              </w:rPr>
            </w:pPr>
            <w:r>
              <w:rPr>
                <w:rFonts w:hint="eastAsia" w:ascii="仿宋" w:hAnsi="仿宋" w:eastAsia="仿宋" w:cs="仿宋_GB2312"/>
                <w:b/>
                <w:bCs/>
                <w:color w:val="auto"/>
                <w:spacing w:val="4"/>
                <w:sz w:val="24"/>
              </w:rPr>
              <w:t>评审项目</w:t>
            </w:r>
          </w:p>
        </w:tc>
        <w:tc>
          <w:tcPr>
            <w:tcW w:w="741" w:type="pct"/>
            <w:shd w:val="clear" w:color="auto" w:fill="BEBEBE"/>
            <w:noWrap w:val="0"/>
            <w:vAlign w:val="center"/>
          </w:tcPr>
          <w:p w14:paraId="68E5A1D6">
            <w:pPr>
              <w:keepNext w:val="0"/>
              <w:keepLines w:val="0"/>
              <w:pageBreakBefore w:val="0"/>
              <w:tabs>
                <w:tab w:val="left" w:pos="960"/>
              </w:tabs>
              <w:kinsoku/>
              <w:wordWrap/>
              <w:overflowPunct/>
              <w:topLinePunct w:val="0"/>
              <w:autoSpaceDE/>
              <w:autoSpaceDN/>
              <w:bidi w:val="0"/>
              <w:adjustRightInd/>
              <w:spacing w:line="400" w:lineRule="exact"/>
              <w:jc w:val="center"/>
              <w:textAlignment w:val="auto"/>
              <w:rPr>
                <w:rFonts w:ascii="仿宋" w:hAnsi="仿宋" w:eastAsia="仿宋" w:cs="仿宋_GB2312"/>
                <w:b/>
                <w:bCs/>
                <w:color w:val="auto"/>
                <w:spacing w:val="4"/>
                <w:sz w:val="24"/>
              </w:rPr>
            </w:pPr>
            <w:r>
              <w:rPr>
                <w:rFonts w:hint="eastAsia" w:ascii="仿宋" w:hAnsi="仿宋" w:eastAsia="仿宋" w:cs="仿宋_GB2312"/>
                <w:b/>
                <w:bCs/>
                <w:color w:val="auto"/>
                <w:spacing w:val="4"/>
                <w:sz w:val="24"/>
              </w:rPr>
              <w:t>评审分项</w:t>
            </w:r>
          </w:p>
        </w:tc>
        <w:tc>
          <w:tcPr>
            <w:tcW w:w="530" w:type="pct"/>
            <w:shd w:val="clear" w:color="auto" w:fill="BEBEBE"/>
            <w:noWrap w:val="0"/>
            <w:vAlign w:val="center"/>
          </w:tcPr>
          <w:p w14:paraId="4358F36B">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b/>
                <w:bCs/>
                <w:color w:val="auto"/>
                <w:spacing w:val="4"/>
                <w:sz w:val="24"/>
              </w:rPr>
            </w:pPr>
            <w:r>
              <w:rPr>
                <w:rFonts w:hint="eastAsia" w:ascii="仿宋" w:hAnsi="仿宋" w:eastAsia="仿宋" w:cs="仿宋_GB2312"/>
                <w:b/>
                <w:bCs/>
                <w:color w:val="auto"/>
                <w:spacing w:val="4"/>
                <w:sz w:val="24"/>
              </w:rPr>
              <w:t>分值</w:t>
            </w:r>
          </w:p>
        </w:tc>
        <w:tc>
          <w:tcPr>
            <w:tcW w:w="2963" w:type="pct"/>
            <w:shd w:val="clear" w:color="auto" w:fill="BEBEBE"/>
            <w:noWrap w:val="0"/>
            <w:vAlign w:val="center"/>
          </w:tcPr>
          <w:p w14:paraId="5A9D57A3">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b/>
                <w:bCs/>
                <w:color w:val="auto"/>
                <w:spacing w:val="4"/>
                <w:sz w:val="24"/>
              </w:rPr>
            </w:pPr>
            <w:r>
              <w:rPr>
                <w:rFonts w:hint="eastAsia" w:ascii="仿宋" w:hAnsi="仿宋" w:eastAsia="仿宋" w:cs="仿宋_GB2312"/>
                <w:b/>
                <w:bCs/>
                <w:color w:val="auto"/>
                <w:spacing w:val="4"/>
                <w:sz w:val="24"/>
              </w:rPr>
              <w:t>子项目及分值</w:t>
            </w:r>
          </w:p>
        </w:tc>
      </w:tr>
      <w:tr w14:paraId="2698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noWrap w:val="0"/>
            <w:vAlign w:val="center"/>
          </w:tcPr>
          <w:p w14:paraId="78776CA4">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color w:val="auto"/>
                <w:spacing w:val="4"/>
                <w:sz w:val="24"/>
              </w:rPr>
            </w:pPr>
            <w:r>
              <w:rPr>
                <w:rFonts w:hint="eastAsia" w:ascii="仿宋" w:hAnsi="仿宋" w:eastAsia="仿宋" w:cs="仿宋_GB2312"/>
                <w:color w:val="auto"/>
                <w:spacing w:val="4"/>
                <w:sz w:val="24"/>
              </w:rPr>
              <w:t>价格部分（</w:t>
            </w:r>
            <w:r>
              <w:rPr>
                <w:rFonts w:hint="eastAsia" w:ascii="仿宋" w:hAnsi="仿宋" w:eastAsia="仿宋" w:cs="仿宋_GB2312"/>
                <w:color w:val="auto"/>
                <w:spacing w:val="4"/>
                <w:sz w:val="24"/>
                <w:lang w:val="en-US" w:eastAsia="zh-CN"/>
              </w:rPr>
              <w:t>30</w:t>
            </w:r>
            <w:r>
              <w:rPr>
                <w:rFonts w:hint="eastAsia" w:ascii="仿宋" w:hAnsi="仿宋" w:eastAsia="仿宋" w:cs="仿宋_GB2312"/>
                <w:color w:val="auto"/>
                <w:spacing w:val="4"/>
                <w:sz w:val="24"/>
              </w:rPr>
              <w:t>分）</w:t>
            </w:r>
          </w:p>
        </w:tc>
        <w:tc>
          <w:tcPr>
            <w:tcW w:w="741" w:type="pct"/>
            <w:noWrap w:val="0"/>
            <w:vAlign w:val="center"/>
          </w:tcPr>
          <w:p w14:paraId="32F9E033">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olor w:val="auto"/>
                <w:sz w:val="24"/>
              </w:rPr>
            </w:pPr>
            <w:r>
              <w:rPr>
                <w:rFonts w:hint="eastAsia" w:ascii="仿宋" w:hAnsi="仿宋" w:eastAsia="仿宋"/>
                <w:color w:val="auto"/>
                <w:sz w:val="24"/>
              </w:rPr>
              <w:t>投标报价</w:t>
            </w:r>
          </w:p>
        </w:tc>
        <w:tc>
          <w:tcPr>
            <w:tcW w:w="530" w:type="pct"/>
            <w:noWrap w:val="0"/>
            <w:vAlign w:val="center"/>
          </w:tcPr>
          <w:p w14:paraId="2DAB9451">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olor w:val="auto"/>
                <w:sz w:val="24"/>
              </w:rPr>
            </w:pPr>
            <w:r>
              <w:rPr>
                <w:rFonts w:hint="eastAsia" w:ascii="仿宋" w:hAnsi="仿宋" w:eastAsia="仿宋"/>
                <w:color w:val="auto"/>
                <w:sz w:val="24"/>
                <w:lang w:val="en-US" w:eastAsia="zh-CN"/>
              </w:rPr>
              <w:t>30</w:t>
            </w:r>
            <w:r>
              <w:rPr>
                <w:rFonts w:hint="eastAsia" w:ascii="仿宋" w:hAnsi="仿宋" w:eastAsia="仿宋"/>
                <w:color w:val="auto"/>
                <w:sz w:val="24"/>
              </w:rPr>
              <w:t>分</w:t>
            </w:r>
          </w:p>
        </w:tc>
        <w:tc>
          <w:tcPr>
            <w:tcW w:w="2963" w:type="pct"/>
            <w:noWrap w:val="0"/>
            <w:vAlign w:val="center"/>
          </w:tcPr>
          <w:p w14:paraId="4D2EE88E">
            <w:pPr>
              <w:pStyle w:val="315"/>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_GB2312"/>
                <w:color w:val="auto"/>
                <w:spacing w:val="4"/>
                <w:kern w:val="2"/>
                <w:sz w:val="24"/>
                <w:szCs w:val="22"/>
                <w:lang w:val="en-US" w:eastAsia="zh-CN" w:bidi="ar-SA"/>
              </w:rPr>
            </w:pPr>
            <w:r>
              <w:rPr>
                <w:rFonts w:hint="eastAsia" w:ascii="仿宋" w:hAnsi="仿宋" w:eastAsia="仿宋" w:cs="仿宋_GB2312"/>
                <w:color w:val="auto"/>
                <w:spacing w:val="4"/>
                <w:kern w:val="2"/>
                <w:sz w:val="24"/>
                <w:szCs w:val="22"/>
                <w:lang w:val="en-US" w:eastAsia="zh-CN" w:bidi="ar-SA"/>
              </w:rPr>
              <w:t>1.满足招标文件要求且报价最低的报价（折扣）为评审基准价，其价格分为满分。其他投标人的价格分统一按照下列公式计算：</w:t>
            </w:r>
          </w:p>
          <w:p w14:paraId="7E413748">
            <w:pPr>
              <w:pStyle w:val="315"/>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_GB2312"/>
                <w:color w:val="auto"/>
                <w:spacing w:val="4"/>
                <w:kern w:val="2"/>
                <w:sz w:val="24"/>
                <w:szCs w:val="22"/>
                <w:lang w:val="en-US" w:eastAsia="zh-CN" w:bidi="ar-SA"/>
              </w:rPr>
            </w:pPr>
            <w:r>
              <w:rPr>
                <w:rFonts w:hint="eastAsia" w:ascii="仿宋" w:hAnsi="仿宋" w:eastAsia="仿宋" w:cs="仿宋_GB2312"/>
                <w:color w:val="auto"/>
                <w:spacing w:val="4"/>
                <w:kern w:val="2"/>
                <w:sz w:val="24"/>
                <w:szCs w:val="22"/>
                <w:lang w:val="en-US" w:eastAsia="zh-CN" w:bidi="ar-SA"/>
              </w:rPr>
              <w:t>2.报价得分=（评审基准价／报价)×价格权值×100</w:t>
            </w:r>
          </w:p>
          <w:p w14:paraId="509D4FA9">
            <w:pPr>
              <w:pStyle w:val="315"/>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_GB2312"/>
                <w:color w:val="auto"/>
                <w:spacing w:val="4"/>
                <w:kern w:val="2"/>
                <w:sz w:val="24"/>
                <w:szCs w:val="22"/>
                <w:lang w:val="en-US" w:eastAsia="zh-CN" w:bidi="ar-SA"/>
              </w:rPr>
            </w:pPr>
            <w:r>
              <w:rPr>
                <w:rFonts w:hint="eastAsia" w:ascii="仿宋" w:hAnsi="仿宋" w:eastAsia="仿宋" w:cs="仿宋_GB2312"/>
                <w:color w:val="auto"/>
                <w:spacing w:val="4"/>
                <w:kern w:val="2"/>
                <w:sz w:val="24"/>
                <w:szCs w:val="22"/>
                <w:lang w:val="en-US" w:eastAsia="zh-CN" w:bidi="ar-SA"/>
              </w:rPr>
              <w:t>3.价格权值=30%</w:t>
            </w:r>
          </w:p>
          <w:p w14:paraId="794E5B3C">
            <w:pPr>
              <w:keepNext w:val="0"/>
              <w:keepLines w:val="0"/>
              <w:pageBreakBefore w:val="0"/>
              <w:kinsoku/>
              <w:wordWrap/>
              <w:overflowPunct/>
              <w:topLinePunct w:val="0"/>
              <w:autoSpaceDE/>
              <w:autoSpaceDN/>
              <w:bidi w:val="0"/>
              <w:adjustRightInd/>
              <w:snapToGrid/>
              <w:spacing w:line="400" w:lineRule="exact"/>
              <w:jc w:val="both"/>
              <w:textAlignment w:val="auto"/>
              <w:rPr>
                <w:rFonts w:ascii="仿宋" w:hAnsi="仿宋" w:eastAsia="仿宋"/>
                <w:color w:val="auto"/>
                <w:sz w:val="24"/>
              </w:rPr>
            </w:pPr>
            <w:r>
              <w:rPr>
                <w:rFonts w:hint="eastAsia" w:ascii="仿宋" w:hAnsi="仿宋" w:eastAsia="仿宋" w:cs="仿宋_GB2312"/>
                <w:color w:val="auto"/>
                <w:spacing w:val="4"/>
                <w:kern w:val="2"/>
                <w:sz w:val="24"/>
                <w:szCs w:val="22"/>
                <w:lang w:val="en-US" w:eastAsia="zh-CN" w:bidi="ar-SA"/>
              </w:rPr>
              <w:t>备注：符合投标人须知中价格扣除规定的，在评审时予以价格扣除，用扣除后的价格参与评审。</w:t>
            </w:r>
          </w:p>
        </w:tc>
      </w:tr>
      <w:tr w14:paraId="17BD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vMerge w:val="restart"/>
            <w:noWrap w:val="0"/>
            <w:vAlign w:val="center"/>
          </w:tcPr>
          <w:p w14:paraId="2700264A">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color w:val="auto"/>
                <w:spacing w:val="4"/>
                <w:sz w:val="24"/>
              </w:rPr>
            </w:pPr>
            <w:r>
              <w:rPr>
                <w:rFonts w:hint="eastAsia" w:ascii="仿宋" w:hAnsi="仿宋" w:eastAsia="仿宋" w:cs="仿宋_GB2312"/>
                <w:color w:val="auto"/>
                <w:spacing w:val="4"/>
                <w:sz w:val="24"/>
              </w:rPr>
              <w:t>商务部分（</w:t>
            </w:r>
            <w:r>
              <w:rPr>
                <w:rFonts w:hint="eastAsia" w:ascii="仿宋" w:hAnsi="仿宋" w:eastAsia="仿宋" w:cs="仿宋_GB2312"/>
                <w:color w:val="auto"/>
                <w:spacing w:val="4"/>
                <w:sz w:val="24"/>
                <w:lang w:val="en-US" w:eastAsia="zh-CN"/>
              </w:rPr>
              <w:t>21</w:t>
            </w:r>
            <w:r>
              <w:rPr>
                <w:rFonts w:hint="eastAsia" w:ascii="仿宋" w:hAnsi="仿宋" w:eastAsia="仿宋" w:cs="仿宋_GB2312"/>
                <w:color w:val="auto"/>
                <w:spacing w:val="4"/>
                <w:sz w:val="24"/>
              </w:rPr>
              <w:t>分）</w:t>
            </w:r>
          </w:p>
        </w:tc>
        <w:tc>
          <w:tcPr>
            <w:tcW w:w="741" w:type="pct"/>
            <w:noWrap w:val="0"/>
            <w:vAlign w:val="center"/>
          </w:tcPr>
          <w:p w14:paraId="65AFA4EE">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color w:val="auto"/>
                <w:spacing w:val="4"/>
                <w:sz w:val="24"/>
              </w:rPr>
            </w:pPr>
            <w:r>
              <w:rPr>
                <w:rFonts w:hint="eastAsia" w:ascii="仿宋" w:hAnsi="仿宋" w:eastAsia="仿宋" w:cs="仿宋_GB2312"/>
                <w:color w:val="auto"/>
                <w:spacing w:val="4"/>
                <w:sz w:val="24"/>
              </w:rPr>
              <w:t>类似</w:t>
            </w:r>
            <w:r>
              <w:rPr>
                <w:rFonts w:ascii="仿宋" w:hAnsi="仿宋" w:eastAsia="仿宋" w:cs="仿宋_GB2312"/>
                <w:color w:val="auto"/>
                <w:spacing w:val="4"/>
                <w:sz w:val="24"/>
              </w:rPr>
              <w:t>业绩</w:t>
            </w:r>
          </w:p>
        </w:tc>
        <w:tc>
          <w:tcPr>
            <w:tcW w:w="530" w:type="pct"/>
            <w:noWrap w:val="0"/>
            <w:vAlign w:val="center"/>
          </w:tcPr>
          <w:p w14:paraId="4B71AEB2">
            <w:pPr>
              <w:keepNext w:val="0"/>
              <w:keepLines w:val="0"/>
              <w:pageBreakBefore w:val="0"/>
              <w:kinsoku/>
              <w:wordWrap/>
              <w:overflowPunct/>
              <w:topLinePunct w:val="0"/>
              <w:autoSpaceDE/>
              <w:autoSpaceDN/>
              <w:bidi w:val="0"/>
              <w:adjustRightInd/>
              <w:snapToGrid w:val="0"/>
              <w:spacing w:line="400" w:lineRule="exact"/>
              <w:jc w:val="center"/>
              <w:textAlignment w:val="auto"/>
              <w:rPr>
                <w:rFonts w:ascii="仿宋" w:hAnsi="仿宋" w:eastAsia="仿宋" w:cs="仿宋_GB2312"/>
                <w:color w:val="auto"/>
                <w:spacing w:val="4"/>
                <w:sz w:val="24"/>
              </w:rPr>
            </w:pPr>
            <w:r>
              <w:rPr>
                <w:rFonts w:hint="eastAsia" w:ascii="仿宋" w:hAnsi="仿宋" w:eastAsia="仿宋" w:cs="仿宋_GB2312"/>
                <w:color w:val="auto"/>
                <w:spacing w:val="4"/>
                <w:sz w:val="24"/>
                <w:lang w:val="en-US" w:eastAsia="zh-CN"/>
              </w:rPr>
              <w:t>10</w:t>
            </w:r>
            <w:r>
              <w:rPr>
                <w:rFonts w:hint="eastAsia" w:ascii="仿宋" w:hAnsi="仿宋" w:eastAsia="仿宋" w:cs="仿宋_GB2312"/>
                <w:color w:val="auto"/>
                <w:spacing w:val="4"/>
                <w:sz w:val="24"/>
              </w:rPr>
              <w:t>分</w:t>
            </w:r>
          </w:p>
        </w:tc>
        <w:tc>
          <w:tcPr>
            <w:tcW w:w="2963" w:type="pct"/>
            <w:noWrap w:val="0"/>
            <w:vAlign w:val="center"/>
          </w:tcPr>
          <w:p w14:paraId="1E7E5184">
            <w:pPr>
              <w:keepNext w:val="0"/>
              <w:keepLines w:val="0"/>
              <w:pageBreakBefore w:val="0"/>
              <w:widowControl/>
              <w:kinsoku/>
              <w:wordWrap/>
              <w:overflowPunct/>
              <w:topLinePunct w:val="0"/>
              <w:autoSpaceDE/>
              <w:autoSpaceDN/>
              <w:bidi w:val="0"/>
              <w:adjustRightInd/>
              <w:snapToGrid/>
              <w:spacing w:line="400" w:lineRule="exact"/>
              <w:textAlignment w:val="auto"/>
              <w:rPr>
                <w:rFonts w:ascii="仿宋" w:hAnsi="仿宋" w:eastAsia="仿宋" w:cs="仿宋_GB2312"/>
                <w:color w:val="auto"/>
                <w:sz w:val="24"/>
              </w:rPr>
            </w:pPr>
            <w:r>
              <w:rPr>
                <w:rFonts w:hint="eastAsia" w:ascii="仿宋" w:hAnsi="仿宋" w:eastAsia="仿宋" w:cs="仿宋_GB2312"/>
                <w:color w:val="auto"/>
                <w:spacing w:val="4"/>
                <w:sz w:val="24"/>
              </w:rPr>
              <w:t>根据</w:t>
            </w:r>
            <w:r>
              <w:rPr>
                <w:rFonts w:hint="eastAsia" w:ascii="仿宋" w:hAnsi="仿宋" w:eastAsia="仿宋" w:cs="仿宋_GB2312"/>
                <w:color w:val="auto"/>
                <w:spacing w:val="4"/>
                <w:sz w:val="24"/>
                <w:lang w:eastAsia="zh-CN"/>
              </w:rPr>
              <w:t>投标人</w:t>
            </w:r>
            <w:r>
              <w:rPr>
                <w:rFonts w:hint="eastAsia" w:ascii="仿宋" w:hAnsi="仿宋" w:eastAsia="仿宋" w:cs="仿宋_GB2312"/>
                <w:color w:val="auto"/>
                <w:spacing w:val="4"/>
                <w:sz w:val="24"/>
              </w:rPr>
              <w:t>提供的202</w:t>
            </w:r>
            <w:r>
              <w:rPr>
                <w:rFonts w:hint="eastAsia" w:ascii="仿宋" w:hAnsi="仿宋" w:eastAsia="仿宋" w:cs="仿宋_GB2312"/>
                <w:color w:val="auto"/>
                <w:spacing w:val="4"/>
                <w:sz w:val="24"/>
                <w:lang w:val="en-US" w:eastAsia="zh-CN"/>
              </w:rPr>
              <w:t>2</w:t>
            </w:r>
            <w:r>
              <w:rPr>
                <w:rFonts w:hint="eastAsia" w:ascii="仿宋" w:hAnsi="仿宋" w:eastAsia="仿宋" w:cs="仿宋_GB2312"/>
                <w:color w:val="auto"/>
                <w:spacing w:val="4"/>
                <w:sz w:val="24"/>
              </w:rPr>
              <w:t>年1月至响应文件递交截止时间</w:t>
            </w:r>
            <w:r>
              <w:rPr>
                <w:rFonts w:hint="eastAsia" w:ascii="仿宋" w:hAnsi="仿宋" w:eastAsia="仿宋" w:cs="仿宋_GB2312"/>
                <w:color w:val="auto"/>
                <w:spacing w:val="4"/>
                <w:sz w:val="24"/>
                <w:lang w:val="en-US" w:eastAsia="zh-CN"/>
              </w:rPr>
              <w:t>完成的</w:t>
            </w:r>
            <w:r>
              <w:rPr>
                <w:rFonts w:hint="eastAsia" w:ascii="仿宋" w:hAnsi="仿宋" w:eastAsia="仿宋" w:cs="仿宋_GB2312"/>
                <w:color w:val="auto"/>
                <w:spacing w:val="4"/>
                <w:sz w:val="24"/>
              </w:rPr>
              <w:t>类似项目业绩进行评审，每提供一个得</w:t>
            </w:r>
            <w:r>
              <w:rPr>
                <w:rFonts w:hint="eastAsia" w:ascii="仿宋" w:hAnsi="仿宋" w:eastAsia="仿宋" w:cs="仿宋_GB2312"/>
                <w:color w:val="auto"/>
                <w:spacing w:val="4"/>
                <w:sz w:val="24"/>
                <w:lang w:val="en-US" w:eastAsia="zh-CN"/>
              </w:rPr>
              <w:t>2</w:t>
            </w:r>
            <w:r>
              <w:rPr>
                <w:rFonts w:hint="eastAsia" w:ascii="仿宋" w:hAnsi="仿宋" w:eastAsia="仿宋" w:cs="仿宋_GB2312"/>
                <w:color w:val="auto"/>
                <w:spacing w:val="4"/>
                <w:sz w:val="24"/>
              </w:rPr>
              <w:t>分，满分</w:t>
            </w:r>
            <w:r>
              <w:rPr>
                <w:rFonts w:hint="eastAsia" w:ascii="仿宋" w:hAnsi="仿宋" w:eastAsia="仿宋" w:cs="仿宋_GB2312"/>
                <w:color w:val="auto"/>
                <w:spacing w:val="4"/>
                <w:sz w:val="24"/>
                <w:lang w:val="en-US" w:eastAsia="zh-CN"/>
              </w:rPr>
              <w:t>10</w:t>
            </w:r>
            <w:r>
              <w:rPr>
                <w:rFonts w:hint="eastAsia" w:ascii="仿宋" w:hAnsi="仿宋" w:eastAsia="仿宋" w:cs="仿宋_GB2312"/>
                <w:color w:val="auto"/>
                <w:spacing w:val="4"/>
                <w:sz w:val="24"/>
                <w:highlight w:val="none"/>
              </w:rPr>
              <w:t>分</w:t>
            </w:r>
            <w:r>
              <w:rPr>
                <w:rFonts w:hint="eastAsia" w:ascii="仿宋" w:hAnsi="仿宋" w:eastAsia="仿宋" w:cs="仿宋"/>
                <w:color w:val="auto"/>
                <w:sz w:val="24"/>
                <w:szCs w:val="24"/>
              </w:rPr>
              <w:t>（须提供</w:t>
            </w:r>
            <w:r>
              <w:rPr>
                <w:rFonts w:hint="eastAsia" w:ascii="仿宋" w:hAnsi="仿宋" w:eastAsia="仿宋" w:cs="仿宋"/>
                <w:color w:val="auto"/>
                <w:sz w:val="24"/>
                <w:szCs w:val="24"/>
                <w:lang w:val="en-US" w:eastAsia="zh-CN"/>
              </w:rPr>
              <w:t>委托</w:t>
            </w:r>
            <w:r>
              <w:rPr>
                <w:rFonts w:hint="eastAsia" w:ascii="仿宋" w:hAnsi="仿宋" w:eastAsia="仿宋" w:cs="仿宋"/>
                <w:color w:val="auto"/>
                <w:sz w:val="24"/>
                <w:szCs w:val="24"/>
              </w:rPr>
              <w:t>合同或中标通知书</w:t>
            </w:r>
            <w:r>
              <w:rPr>
                <w:rFonts w:hint="eastAsia" w:ascii="仿宋" w:hAnsi="仿宋" w:eastAsia="仿宋" w:cs="仿宋"/>
                <w:color w:val="auto"/>
                <w:sz w:val="24"/>
                <w:szCs w:val="24"/>
                <w:lang w:eastAsia="zh-CN"/>
              </w:rPr>
              <w:t>，</w:t>
            </w:r>
            <w:r>
              <w:rPr>
                <w:rFonts w:hint="eastAsia" w:ascii="仿宋" w:hAnsi="仿宋" w:eastAsia="仿宋" w:cs="仿宋"/>
                <w:color w:val="auto"/>
                <w:spacing w:val="4"/>
                <w:sz w:val="24"/>
                <w:szCs w:val="24"/>
              </w:rPr>
              <w:t>同一用户单位不重复计算</w:t>
            </w:r>
            <w:r>
              <w:rPr>
                <w:rFonts w:hint="eastAsia" w:ascii="仿宋" w:hAnsi="仿宋" w:eastAsia="仿宋" w:cs="仿宋"/>
                <w:color w:val="auto"/>
                <w:sz w:val="24"/>
                <w:szCs w:val="24"/>
              </w:rPr>
              <w:t>）</w:t>
            </w:r>
            <w:r>
              <w:rPr>
                <w:rFonts w:hint="eastAsia" w:ascii="仿宋" w:hAnsi="仿宋" w:eastAsia="仿宋" w:cs="仿宋_GB2312"/>
                <w:color w:val="auto"/>
                <w:spacing w:val="4"/>
                <w:sz w:val="24"/>
                <w:highlight w:val="none"/>
              </w:rPr>
              <w:t>。</w:t>
            </w:r>
          </w:p>
        </w:tc>
      </w:tr>
      <w:tr w14:paraId="36D0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vMerge w:val="continue"/>
            <w:noWrap w:val="0"/>
            <w:vAlign w:val="center"/>
          </w:tcPr>
          <w:p w14:paraId="474F44E3">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color w:val="auto"/>
                <w:spacing w:val="4"/>
                <w:sz w:val="24"/>
              </w:rPr>
            </w:pPr>
          </w:p>
        </w:tc>
        <w:tc>
          <w:tcPr>
            <w:tcW w:w="741" w:type="pct"/>
            <w:noWrap w:val="0"/>
            <w:vAlign w:val="center"/>
          </w:tcPr>
          <w:p w14:paraId="0892DD8B">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_GB2312"/>
                <w:color w:val="auto"/>
                <w:spacing w:val="4"/>
                <w:sz w:val="24"/>
              </w:rPr>
            </w:pPr>
            <w:r>
              <w:rPr>
                <w:rFonts w:hint="eastAsia" w:ascii="仿宋" w:hAnsi="仿宋" w:eastAsia="仿宋" w:cs="仿宋_GB2312"/>
                <w:color w:val="auto"/>
                <w:spacing w:val="4"/>
                <w:sz w:val="24"/>
              </w:rPr>
              <w:t>用户反馈</w:t>
            </w:r>
          </w:p>
          <w:p w14:paraId="4A8FBF1D">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color w:val="auto"/>
                <w:spacing w:val="4"/>
                <w:sz w:val="24"/>
              </w:rPr>
            </w:pPr>
            <w:r>
              <w:rPr>
                <w:rFonts w:hint="eastAsia" w:ascii="仿宋" w:hAnsi="仿宋" w:eastAsia="仿宋" w:cs="仿宋_GB2312"/>
                <w:color w:val="auto"/>
                <w:spacing w:val="4"/>
                <w:sz w:val="24"/>
              </w:rPr>
              <w:t>意见</w:t>
            </w:r>
          </w:p>
        </w:tc>
        <w:tc>
          <w:tcPr>
            <w:tcW w:w="530" w:type="pct"/>
            <w:noWrap w:val="0"/>
            <w:vAlign w:val="center"/>
          </w:tcPr>
          <w:p w14:paraId="5006472F">
            <w:pPr>
              <w:keepNext w:val="0"/>
              <w:keepLines w:val="0"/>
              <w:pageBreakBefore w:val="0"/>
              <w:kinsoku/>
              <w:wordWrap/>
              <w:overflowPunct/>
              <w:topLinePunct w:val="0"/>
              <w:autoSpaceDE/>
              <w:autoSpaceDN/>
              <w:bidi w:val="0"/>
              <w:adjustRightInd/>
              <w:snapToGrid w:val="0"/>
              <w:spacing w:line="400" w:lineRule="exact"/>
              <w:jc w:val="center"/>
              <w:textAlignment w:val="auto"/>
              <w:rPr>
                <w:rFonts w:ascii="仿宋" w:hAnsi="仿宋" w:eastAsia="仿宋" w:cs="仿宋_GB2312"/>
                <w:color w:val="auto"/>
                <w:spacing w:val="4"/>
                <w:sz w:val="24"/>
              </w:rPr>
            </w:pPr>
            <w:r>
              <w:rPr>
                <w:rFonts w:hint="eastAsia" w:ascii="仿宋" w:hAnsi="仿宋" w:eastAsia="仿宋" w:cs="仿宋_GB2312"/>
                <w:color w:val="auto"/>
                <w:spacing w:val="4"/>
                <w:sz w:val="24"/>
                <w:lang w:val="en-US" w:eastAsia="zh-CN"/>
              </w:rPr>
              <w:t>5</w:t>
            </w:r>
            <w:r>
              <w:rPr>
                <w:rFonts w:ascii="仿宋" w:hAnsi="仿宋" w:eastAsia="仿宋" w:cs="仿宋_GB2312"/>
                <w:color w:val="auto"/>
                <w:spacing w:val="4"/>
                <w:sz w:val="24"/>
              </w:rPr>
              <w:t>分</w:t>
            </w:r>
          </w:p>
        </w:tc>
        <w:tc>
          <w:tcPr>
            <w:tcW w:w="2963" w:type="pct"/>
            <w:noWrap w:val="0"/>
            <w:vAlign w:val="center"/>
          </w:tcPr>
          <w:p w14:paraId="4086651B">
            <w:pPr>
              <w:keepNext w:val="0"/>
              <w:keepLines w:val="0"/>
              <w:pageBreakBefore w:val="0"/>
              <w:widowControl/>
              <w:kinsoku/>
              <w:wordWrap/>
              <w:overflowPunct/>
              <w:topLinePunct w:val="0"/>
              <w:autoSpaceDE/>
              <w:autoSpaceDN/>
              <w:bidi w:val="0"/>
              <w:adjustRightInd/>
              <w:snapToGrid/>
              <w:spacing w:line="400" w:lineRule="exact"/>
              <w:textAlignment w:val="auto"/>
              <w:rPr>
                <w:rFonts w:ascii="仿宋" w:hAnsi="仿宋" w:eastAsia="仿宋" w:cs="仿宋_GB2312"/>
                <w:color w:val="auto"/>
                <w:spacing w:val="4"/>
                <w:sz w:val="24"/>
              </w:rPr>
            </w:pPr>
            <w:r>
              <w:rPr>
                <w:rFonts w:hint="eastAsia" w:ascii="仿宋" w:hAnsi="仿宋" w:eastAsia="仿宋" w:cs="仿宋"/>
                <w:color w:val="auto"/>
                <w:kern w:val="0"/>
                <w:sz w:val="24"/>
              </w:rPr>
              <w:t>根据</w:t>
            </w:r>
            <w:r>
              <w:rPr>
                <w:rFonts w:hint="eastAsia" w:ascii="仿宋" w:hAnsi="仿宋" w:eastAsia="仿宋" w:cs="仿宋"/>
                <w:color w:val="auto"/>
                <w:kern w:val="0"/>
                <w:sz w:val="24"/>
                <w:lang w:val="en-US" w:eastAsia="zh-CN"/>
              </w:rPr>
              <w:t>投标人</w:t>
            </w:r>
            <w:r>
              <w:rPr>
                <w:rFonts w:hint="eastAsia" w:ascii="仿宋" w:hAnsi="仿宋" w:eastAsia="仿宋" w:cs="仿宋"/>
                <w:color w:val="auto"/>
                <w:kern w:val="0"/>
                <w:sz w:val="24"/>
              </w:rPr>
              <w:t>202</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年1月1日</w:t>
            </w:r>
            <w:r>
              <w:rPr>
                <w:rFonts w:hint="eastAsia" w:ascii="仿宋" w:hAnsi="仿宋" w:eastAsia="仿宋" w:cs="仿宋"/>
                <w:color w:val="auto"/>
                <w:spacing w:val="4"/>
                <w:sz w:val="24"/>
              </w:rPr>
              <w:t>至</w:t>
            </w:r>
            <w:r>
              <w:rPr>
                <w:rFonts w:hint="eastAsia" w:ascii="仿宋" w:hAnsi="仿宋" w:eastAsia="仿宋" w:cs="仿宋_GB2312"/>
                <w:color w:val="auto"/>
                <w:spacing w:val="4"/>
                <w:sz w:val="24"/>
              </w:rPr>
              <w:t>响应文件递交</w:t>
            </w:r>
            <w:r>
              <w:rPr>
                <w:rFonts w:hint="eastAsia" w:ascii="仿宋" w:hAnsi="仿宋" w:eastAsia="仿宋" w:cs="仿宋"/>
                <w:color w:val="auto"/>
                <w:spacing w:val="4"/>
                <w:sz w:val="24"/>
              </w:rPr>
              <w:t>截止时间</w:t>
            </w:r>
            <w:r>
              <w:rPr>
                <w:rFonts w:hint="eastAsia" w:ascii="仿宋" w:hAnsi="仿宋" w:eastAsia="仿宋" w:cs="仿宋"/>
                <w:color w:val="auto"/>
                <w:kern w:val="0"/>
                <w:sz w:val="24"/>
              </w:rPr>
              <w:t>提供的类似项目所获得的良好用户评价评分。每提供一份正面用户评价意见得1分，最高得5分（须提供加盖用户单位公章的用户反馈意见</w:t>
            </w:r>
            <w:r>
              <w:rPr>
                <w:rFonts w:hint="eastAsia" w:ascii="仿宋" w:hAnsi="仿宋" w:eastAsia="仿宋" w:cs="仿宋"/>
                <w:color w:val="auto"/>
                <w:kern w:val="0"/>
                <w:sz w:val="24"/>
                <w:lang w:eastAsia="zh-CN"/>
              </w:rPr>
              <w:t>，</w:t>
            </w:r>
            <w:r>
              <w:rPr>
                <w:rFonts w:hint="eastAsia" w:ascii="仿宋" w:hAnsi="仿宋" w:eastAsia="仿宋" w:cs="仿宋"/>
                <w:color w:val="auto"/>
                <w:spacing w:val="4"/>
                <w:sz w:val="24"/>
                <w:szCs w:val="24"/>
              </w:rPr>
              <w:t>同一用户单位不重复计算，未提供不得分）。</w:t>
            </w:r>
          </w:p>
        </w:tc>
      </w:tr>
      <w:tr w14:paraId="223F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vMerge w:val="continue"/>
            <w:noWrap w:val="0"/>
            <w:vAlign w:val="center"/>
          </w:tcPr>
          <w:p w14:paraId="3714332C">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color w:val="auto"/>
                <w:spacing w:val="4"/>
                <w:sz w:val="24"/>
              </w:rPr>
            </w:pPr>
          </w:p>
        </w:tc>
        <w:tc>
          <w:tcPr>
            <w:tcW w:w="741" w:type="pct"/>
            <w:noWrap w:val="0"/>
            <w:vAlign w:val="center"/>
          </w:tcPr>
          <w:p w14:paraId="69276C03">
            <w:pPr>
              <w:keepNext w:val="0"/>
              <w:keepLines w:val="0"/>
              <w:pageBreakBefore w:val="0"/>
              <w:kinsoku/>
              <w:wordWrap/>
              <w:overflowPunct/>
              <w:topLinePunct w:val="0"/>
              <w:autoSpaceDE/>
              <w:autoSpaceDN/>
              <w:bidi w:val="0"/>
              <w:adjustRightInd/>
              <w:spacing w:line="400" w:lineRule="exact"/>
              <w:jc w:val="center"/>
              <w:textAlignment w:val="auto"/>
              <w:rPr>
                <w:rFonts w:hint="default" w:ascii="仿宋" w:hAnsi="仿宋" w:eastAsia="仿宋" w:cs="仿宋_GB2312"/>
                <w:color w:val="000000" w:themeColor="text1"/>
                <w:spacing w:val="4"/>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质检报告</w:t>
            </w:r>
          </w:p>
        </w:tc>
        <w:tc>
          <w:tcPr>
            <w:tcW w:w="530" w:type="pct"/>
            <w:noWrap w:val="0"/>
            <w:vAlign w:val="center"/>
          </w:tcPr>
          <w:p w14:paraId="052DBC7D">
            <w:pPr>
              <w:keepNext w:val="0"/>
              <w:keepLines w:val="0"/>
              <w:pageBreakBefore w:val="0"/>
              <w:kinsoku/>
              <w:wordWrap/>
              <w:overflowPunct/>
              <w:topLinePunct w:val="0"/>
              <w:autoSpaceDE/>
              <w:autoSpaceDN/>
              <w:bidi w:val="0"/>
              <w:adjustRightInd/>
              <w:snapToGrid w:val="0"/>
              <w:spacing w:line="400" w:lineRule="exact"/>
              <w:jc w:val="center"/>
              <w:textAlignment w:val="auto"/>
              <w:rPr>
                <w:rFonts w:hint="default" w:ascii="仿宋" w:hAnsi="仿宋" w:eastAsia="仿宋" w:cs="仿宋_GB2312"/>
                <w:color w:val="000000" w:themeColor="text1"/>
                <w:spacing w:val="4"/>
                <w:sz w:val="24"/>
                <w:highlight w:val="none"/>
                <w:lang w:val="en-US" w:eastAsia="zh-CN"/>
                <w14:textFill>
                  <w14:solidFill>
                    <w14:schemeClr w14:val="tx1"/>
                  </w14:solidFill>
                </w14:textFill>
              </w:rPr>
            </w:pPr>
            <w:r>
              <w:rPr>
                <w:rFonts w:hint="eastAsia" w:ascii="仿宋" w:hAnsi="仿宋" w:eastAsia="仿宋" w:cs="仿宋_GB2312"/>
                <w:color w:val="000000" w:themeColor="text1"/>
                <w:spacing w:val="4"/>
                <w:sz w:val="24"/>
                <w:highlight w:val="none"/>
                <w:lang w:val="en-US" w:eastAsia="zh-CN"/>
                <w14:textFill>
                  <w14:solidFill>
                    <w14:schemeClr w14:val="tx1"/>
                  </w14:solidFill>
                </w14:textFill>
              </w:rPr>
              <w:t>6分</w:t>
            </w:r>
          </w:p>
        </w:tc>
        <w:tc>
          <w:tcPr>
            <w:tcW w:w="2963" w:type="pct"/>
            <w:noWrap w:val="0"/>
            <w:vAlign w:val="center"/>
          </w:tcPr>
          <w:p w14:paraId="7C12668B">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_GB2312"/>
                <w:color w:val="000000" w:themeColor="text1"/>
                <w:spacing w:val="4"/>
                <w:sz w:val="24"/>
                <w:highlight w:val="none"/>
                <w:lang w:val="en-US" w:eastAsia="zh-CN"/>
                <w14:textFill>
                  <w14:solidFill>
                    <w14:schemeClr w14:val="tx1"/>
                  </w14:solidFill>
                </w14:textFill>
              </w:rPr>
            </w:pPr>
            <w:r>
              <w:rPr>
                <w:rFonts w:hint="default" w:ascii="仿宋" w:hAnsi="仿宋" w:eastAsia="仿宋" w:cs="仿宋_GB2312"/>
                <w:color w:val="000000" w:themeColor="text1"/>
                <w:spacing w:val="4"/>
                <w:sz w:val="24"/>
                <w:highlight w:val="none"/>
                <w:lang w:val="en-US" w:eastAsia="zh-CN"/>
                <w14:textFill>
                  <w14:solidFill>
                    <w14:schemeClr w14:val="tx1"/>
                  </w14:solidFill>
                </w14:textFill>
              </w:rPr>
              <w:t>根据</w:t>
            </w:r>
            <w:r>
              <w:rPr>
                <w:rFonts w:hint="eastAsia" w:ascii="仿宋" w:hAnsi="仿宋" w:eastAsia="仿宋" w:cs="仿宋_GB2312"/>
                <w:color w:val="000000" w:themeColor="text1"/>
                <w:spacing w:val="4"/>
                <w:sz w:val="24"/>
                <w:highlight w:val="none"/>
                <w:lang w:val="en-US" w:eastAsia="zh-CN"/>
                <w14:textFill>
                  <w14:solidFill>
                    <w14:schemeClr w14:val="tx1"/>
                  </w14:solidFill>
                </w14:textFill>
              </w:rPr>
              <w:t>投标人</w:t>
            </w:r>
            <w:r>
              <w:rPr>
                <w:rFonts w:hint="default" w:ascii="仿宋" w:hAnsi="仿宋" w:eastAsia="仿宋" w:cs="仿宋_GB2312"/>
                <w:color w:val="000000" w:themeColor="text1"/>
                <w:spacing w:val="4"/>
                <w:sz w:val="24"/>
                <w:highlight w:val="none"/>
                <w:lang w:val="en-US" w:eastAsia="zh-CN"/>
                <w14:textFill>
                  <w14:solidFill>
                    <w14:schemeClr w14:val="tx1"/>
                  </w14:solidFill>
                </w14:textFill>
              </w:rPr>
              <w:t>所提供的门店产品的第三方质检部门出具的产品质检报告进行评分，米、面、杂粮、油、食品类（不包含烟酒类）、生鲜类共6类，每提供一类货物2024年1月1日以来的产品质检报告（检测报告）得1分，满分6分。</w:t>
            </w:r>
          </w:p>
        </w:tc>
      </w:tr>
      <w:tr w14:paraId="5DD0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vMerge w:val="restart"/>
            <w:noWrap w:val="0"/>
            <w:vAlign w:val="center"/>
          </w:tcPr>
          <w:p w14:paraId="71A06A6F">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color w:val="auto"/>
                <w:spacing w:val="4"/>
                <w:sz w:val="24"/>
              </w:rPr>
            </w:pPr>
            <w:r>
              <w:rPr>
                <w:rFonts w:hint="eastAsia" w:ascii="仿宋" w:hAnsi="仿宋" w:eastAsia="仿宋" w:cs="仿宋_GB2312"/>
                <w:color w:val="auto"/>
                <w:spacing w:val="4"/>
                <w:sz w:val="24"/>
              </w:rPr>
              <w:t>技术部分（</w:t>
            </w:r>
            <w:r>
              <w:rPr>
                <w:rFonts w:hint="eastAsia" w:ascii="仿宋" w:hAnsi="仿宋" w:eastAsia="仿宋" w:cs="仿宋_GB2312"/>
                <w:color w:val="auto"/>
                <w:spacing w:val="4"/>
                <w:sz w:val="24"/>
                <w:lang w:val="en-US" w:eastAsia="zh-CN"/>
              </w:rPr>
              <w:t>49</w:t>
            </w:r>
            <w:r>
              <w:rPr>
                <w:rFonts w:hint="eastAsia" w:ascii="仿宋" w:hAnsi="仿宋" w:eastAsia="仿宋" w:cs="仿宋_GB2312"/>
                <w:color w:val="auto"/>
                <w:spacing w:val="4"/>
                <w:sz w:val="24"/>
              </w:rPr>
              <w:t>分）</w:t>
            </w:r>
          </w:p>
        </w:tc>
        <w:tc>
          <w:tcPr>
            <w:tcW w:w="741" w:type="pct"/>
            <w:shd w:val="clear" w:color="auto" w:fill="auto"/>
            <w:noWrap w:val="0"/>
            <w:vAlign w:val="center"/>
          </w:tcPr>
          <w:p w14:paraId="2F5F21FF">
            <w:pPr>
              <w:keepNext w:val="0"/>
              <w:keepLines w:val="0"/>
              <w:pageBreakBefore w:val="0"/>
              <w:kinsoku/>
              <w:wordWrap/>
              <w:overflowPunct/>
              <w:topLinePunct w:val="0"/>
              <w:autoSpaceDE/>
              <w:autoSpaceDN/>
              <w:bidi w:val="0"/>
              <w:adjustRightInd/>
              <w:spacing w:line="400" w:lineRule="exact"/>
              <w:jc w:val="center"/>
              <w:textAlignment w:val="auto"/>
              <w:rPr>
                <w:rFonts w:hint="default" w:ascii="仿宋" w:hAnsi="仿宋" w:eastAsia="仿宋" w:cstheme="minorBidi"/>
                <w:color w:val="auto"/>
                <w:kern w:val="2"/>
                <w:sz w:val="24"/>
                <w:szCs w:val="22"/>
                <w:highlight w:val="none"/>
                <w:lang w:val="en-US" w:eastAsia="zh-CN" w:bidi="ar-SA"/>
              </w:rPr>
            </w:pPr>
            <w:r>
              <w:rPr>
                <w:rFonts w:hint="eastAsia" w:ascii="仿宋" w:hAnsi="仿宋" w:eastAsia="仿宋"/>
                <w:color w:val="auto"/>
                <w:sz w:val="24"/>
              </w:rPr>
              <w:t>供货方案</w:t>
            </w:r>
          </w:p>
        </w:tc>
        <w:tc>
          <w:tcPr>
            <w:tcW w:w="530" w:type="pct"/>
            <w:shd w:val="clear" w:color="auto" w:fill="auto"/>
            <w:noWrap w:val="0"/>
            <w:vAlign w:val="center"/>
          </w:tcPr>
          <w:p w14:paraId="708D00E5">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theme="minorBidi"/>
                <w:color w:val="auto"/>
                <w:kern w:val="2"/>
                <w:sz w:val="24"/>
                <w:szCs w:val="22"/>
                <w:highlight w:val="none"/>
                <w:lang w:val="en-US" w:eastAsia="zh-CN" w:bidi="ar-SA"/>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分</w:t>
            </w:r>
          </w:p>
        </w:tc>
        <w:tc>
          <w:tcPr>
            <w:tcW w:w="2963" w:type="pct"/>
            <w:shd w:val="clear" w:color="auto" w:fill="auto"/>
            <w:noWrap w:val="0"/>
            <w:vAlign w:val="center"/>
          </w:tcPr>
          <w:p w14:paraId="793A3B6C">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olor w:val="auto"/>
                <w:sz w:val="24"/>
              </w:rPr>
              <w:t>根据</w:t>
            </w:r>
            <w:r>
              <w:rPr>
                <w:rFonts w:hint="eastAsia" w:ascii="仿宋" w:hAnsi="仿宋" w:eastAsia="仿宋"/>
                <w:color w:val="auto"/>
                <w:sz w:val="24"/>
                <w:lang w:val="en-US" w:eastAsia="zh-CN"/>
              </w:rPr>
              <w:t>投标人</w:t>
            </w:r>
            <w:r>
              <w:rPr>
                <w:rFonts w:hint="eastAsia" w:ascii="仿宋" w:hAnsi="仿宋" w:eastAsia="仿宋"/>
                <w:color w:val="auto"/>
                <w:sz w:val="24"/>
              </w:rPr>
              <w:t>针对本项目提供的供货方案进行</w:t>
            </w:r>
            <w:r>
              <w:rPr>
                <w:rFonts w:hint="eastAsia" w:ascii="仿宋" w:hAnsi="仿宋" w:eastAsia="仿宋"/>
                <w:color w:val="auto"/>
                <w:sz w:val="24"/>
                <w:lang w:val="en-US" w:eastAsia="zh-CN"/>
              </w:rPr>
              <w:t>打分</w:t>
            </w:r>
            <w:r>
              <w:rPr>
                <w:rFonts w:hint="eastAsia" w:ascii="仿宋" w:hAnsi="仿宋" w:eastAsia="仿宋"/>
                <w:color w:val="auto"/>
                <w:sz w:val="24"/>
              </w:rPr>
              <w:t>，包括以下评审内容：</w:t>
            </w:r>
          </w:p>
          <w:p w14:paraId="16C27FA7">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s="仿宋_GB2312"/>
                <w:color w:val="auto"/>
                <w:spacing w:val="4"/>
                <w:sz w:val="24"/>
                <w:lang w:val="en-US" w:eastAsia="zh-CN"/>
              </w:rPr>
              <w:t>1.</w:t>
            </w:r>
            <w:r>
              <w:rPr>
                <w:rFonts w:hint="eastAsia" w:ascii="仿宋" w:hAnsi="仿宋" w:eastAsia="仿宋" w:cs="仿宋_GB2312"/>
                <w:color w:val="auto"/>
                <w:spacing w:val="4"/>
                <w:sz w:val="24"/>
              </w:rPr>
              <w:t>配送方案</w:t>
            </w:r>
            <w:r>
              <w:rPr>
                <w:rFonts w:hint="eastAsia" w:ascii="仿宋" w:hAnsi="仿宋" w:eastAsia="仿宋"/>
                <w:color w:val="auto"/>
                <w:sz w:val="24"/>
              </w:rPr>
              <w:t>（</w:t>
            </w:r>
            <w:r>
              <w:rPr>
                <w:rFonts w:hint="eastAsia" w:ascii="仿宋" w:hAnsi="仿宋" w:eastAsia="仿宋"/>
                <w:color w:val="auto"/>
                <w:sz w:val="24"/>
                <w:lang w:val="en-US" w:eastAsia="zh-CN"/>
              </w:rPr>
              <w:t>4</w:t>
            </w:r>
            <w:r>
              <w:rPr>
                <w:rFonts w:hint="eastAsia" w:ascii="仿宋" w:hAnsi="仿宋" w:eastAsia="仿宋"/>
                <w:color w:val="auto"/>
                <w:sz w:val="24"/>
              </w:rPr>
              <w:t>分）</w:t>
            </w:r>
          </w:p>
          <w:p w14:paraId="178A21B0">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s="仿宋_GB2312"/>
                <w:color w:val="auto"/>
                <w:spacing w:val="4"/>
                <w:sz w:val="24"/>
                <w:lang w:val="en-US" w:eastAsia="zh-CN"/>
              </w:rPr>
              <w:t>2.</w:t>
            </w:r>
            <w:r>
              <w:rPr>
                <w:rFonts w:hint="eastAsia" w:ascii="仿宋" w:hAnsi="仿宋" w:eastAsia="仿宋" w:cs="仿宋_GB2312"/>
                <w:color w:val="auto"/>
                <w:spacing w:val="4"/>
                <w:sz w:val="24"/>
              </w:rPr>
              <w:t>发货形式</w:t>
            </w:r>
            <w:r>
              <w:rPr>
                <w:rFonts w:hint="eastAsia" w:ascii="仿宋" w:hAnsi="仿宋" w:eastAsia="仿宋"/>
                <w:color w:val="auto"/>
                <w:sz w:val="24"/>
              </w:rPr>
              <w:t>（</w:t>
            </w:r>
            <w:r>
              <w:rPr>
                <w:rFonts w:hint="eastAsia" w:ascii="仿宋" w:hAnsi="仿宋" w:eastAsia="仿宋"/>
                <w:color w:val="auto"/>
                <w:sz w:val="24"/>
                <w:lang w:val="en-US" w:eastAsia="zh-CN"/>
              </w:rPr>
              <w:t>4</w:t>
            </w:r>
            <w:r>
              <w:rPr>
                <w:rFonts w:hint="eastAsia" w:ascii="仿宋" w:hAnsi="仿宋" w:eastAsia="仿宋"/>
                <w:color w:val="auto"/>
                <w:sz w:val="24"/>
              </w:rPr>
              <w:t>分）</w:t>
            </w:r>
          </w:p>
          <w:p w14:paraId="1BB73947">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b w:val="0"/>
                <w:bCs w:val="0"/>
                <w:color w:val="auto"/>
                <w:sz w:val="24"/>
              </w:rPr>
            </w:pPr>
            <w:r>
              <w:rPr>
                <w:rFonts w:hint="eastAsia" w:ascii="仿宋" w:hAnsi="仿宋" w:eastAsia="仿宋"/>
                <w:b w:val="0"/>
                <w:bCs w:val="0"/>
                <w:color w:val="auto"/>
                <w:sz w:val="24"/>
              </w:rPr>
              <w:t>评审标准：</w:t>
            </w:r>
          </w:p>
          <w:p w14:paraId="12D7D989">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完整性：方案完整，切合本项目实际情况。</w:t>
            </w:r>
          </w:p>
          <w:p w14:paraId="1E509CA2">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合理性：符合项目具体情况，提出的方案措施合理、恰当。</w:t>
            </w:r>
          </w:p>
          <w:p w14:paraId="75FC5942">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简洁性：在不复杂、可理解的方式下，方案条理清晰，便于理解易读。</w:t>
            </w:r>
          </w:p>
          <w:p w14:paraId="3B1AE484">
            <w:pPr>
              <w:keepNext w:val="0"/>
              <w:keepLines w:val="0"/>
              <w:pageBreakBefore w:val="0"/>
              <w:kinsoku/>
              <w:wordWrap/>
              <w:overflowPunct/>
              <w:topLinePunct w:val="0"/>
              <w:autoSpaceDE/>
              <w:autoSpaceDN/>
              <w:bidi w:val="0"/>
              <w:adjustRightInd/>
              <w:spacing w:line="400" w:lineRule="exact"/>
              <w:textAlignment w:val="auto"/>
              <w:rPr>
                <w:rFonts w:hint="default" w:ascii="仿宋" w:hAnsi="仿宋" w:eastAsia="仿宋" w:cstheme="minorBidi"/>
                <w:color w:val="auto"/>
                <w:kern w:val="2"/>
                <w:sz w:val="24"/>
                <w:szCs w:val="22"/>
                <w:highlight w:val="none"/>
                <w:lang w:val="en-US" w:eastAsia="zh-CN" w:bidi="ar-SA"/>
              </w:rPr>
            </w:pPr>
            <w:r>
              <w:rPr>
                <w:rFonts w:hint="eastAsia" w:ascii="仿宋" w:hAnsi="仿宋" w:eastAsia="仿宋"/>
                <w:color w:val="auto"/>
                <w:sz w:val="24"/>
              </w:rPr>
              <w:t>对上述</w:t>
            </w:r>
            <w:r>
              <w:rPr>
                <w:rFonts w:hint="eastAsia" w:ascii="仿宋" w:hAnsi="仿宋" w:eastAsia="仿宋"/>
                <w:color w:val="auto"/>
                <w:sz w:val="24"/>
                <w:lang w:val="en-US" w:eastAsia="zh-CN"/>
              </w:rPr>
              <w:t>2</w:t>
            </w:r>
            <w:r>
              <w:rPr>
                <w:rFonts w:hint="eastAsia" w:ascii="仿宋" w:hAnsi="仿宋" w:eastAsia="仿宋"/>
                <w:color w:val="auto"/>
                <w:sz w:val="24"/>
              </w:rPr>
              <w:t>项评审内容进行打分，每项评审内容完全满足</w:t>
            </w:r>
            <w:r>
              <w:rPr>
                <w:rFonts w:hint="eastAsia" w:ascii="仿宋" w:hAnsi="仿宋" w:eastAsia="仿宋"/>
                <w:color w:val="auto"/>
                <w:sz w:val="24"/>
                <w:lang w:val="en-US" w:eastAsia="zh-CN"/>
              </w:rPr>
              <w:t>3</w:t>
            </w:r>
            <w:r>
              <w:rPr>
                <w:rFonts w:hint="eastAsia" w:ascii="仿宋" w:hAnsi="仿宋" w:eastAsia="仿宋"/>
                <w:color w:val="auto"/>
                <w:sz w:val="24"/>
              </w:rPr>
              <w:t>项评审标准的得</w:t>
            </w:r>
            <w:r>
              <w:rPr>
                <w:rFonts w:hint="eastAsia" w:ascii="仿宋" w:hAnsi="仿宋" w:eastAsia="仿宋"/>
                <w:color w:val="auto"/>
                <w:sz w:val="24"/>
                <w:lang w:val="en-US" w:eastAsia="zh-CN"/>
              </w:rPr>
              <w:t>4</w:t>
            </w:r>
            <w:r>
              <w:rPr>
                <w:rFonts w:hint="eastAsia" w:ascii="仿宋" w:hAnsi="仿宋" w:eastAsia="仿宋"/>
                <w:color w:val="auto"/>
                <w:sz w:val="24"/>
              </w:rPr>
              <w:t>分，满足2项的得</w:t>
            </w:r>
            <w:r>
              <w:rPr>
                <w:rFonts w:hint="eastAsia" w:ascii="仿宋" w:hAnsi="仿宋" w:eastAsia="仿宋"/>
                <w:color w:val="auto"/>
                <w:sz w:val="24"/>
                <w:lang w:val="en-US" w:eastAsia="zh-CN"/>
              </w:rPr>
              <w:t>2</w:t>
            </w:r>
            <w:r>
              <w:rPr>
                <w:rFonts w:hint="eastAsia" w:ascii="仿宋" w:hAnsi="仿宋" w:eastAsia="仿宋"/>
                <w:color w:val="auto"/>
                <w:sz w:val="24"/>
              </w:rPr>
              <w:t>分，满足1项的得1分，其他情况不得分。</w:t>
            </w:r>
          </w:p>
        </w:tc>
      </w:tr>
      <w:tr w14:paraId="36CF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vMerge w:val="continue"/>
            <w:noWrap w:val="0"/>
            <w:vAlign w:val="center"/>
          </w:tcPr>
          <w:p w14:paraId="5FE89CCC">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_GB2312"/>
                <w:color w:val="auto"/>
                <w:spacing w:val="4"/>
                <w:sz w:val="24"/>
              </w:rPr>
            </w:pPr>
          </w:p>
        </w:tc>
        <w:tc>
          <w:tcPr>
            <w:tcW w:w="741" w:type="pct"/>
            <w:shd w:val="clear" w:color="auto" w:fill="auto"/>
            <w:noWrap w:val="0"/>
            <w:vAlign w:val="center"/>
          </w:tcPr>
          <w:p w14:paraId="7C2455B9">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olor w:val="auto"/>
                <w:sz w:val="24"/>
              </w:rPr>
            </w:pPr>
            <w:r>
              <w:rPr>
                <w:rFonts w:hint="eastAsia" w:ascii="仿宋" w:hAnsi="仿宋" w:eastAsia="仿宋"/>
                <w:color w:val="auto"/>
                <w:sz w:val="24"/>
                <w:lang w:val="en-US" w:eastAsia="zh-CN"/>
              </w:rPr>
              <w:t>货源</w:t>
            </w:r>
            <w:r>
              <w:rPr>
                <w:rFonts w:hint="eastAsia" w:ascii="仿宋" w:hAnsi="仿宋" w:eastAsia="仿宋"/>
                <w:color w:val="auto"/>
                <w:sz w:val="24"/>
              </w:rPr>
              <w:t>方案</w:t>
            </w:r>
          </w:p>
        </w:tc>
        <w:tc>
          <w:tcPr>
            <w:tcW w:w="530" w:type="pct"/>
            <w:shd w:val="clear" w:color="auto" w:fill="auto"/>
            <w:noWrap w:val="0"/>
            <w:vAlign w:val="center"/>
          </w:tcPr>
          <w:p w14:paraId="1B4F7EA5">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分</w:t>
            </w:r>
          </w:p>
        </w:tc>
        <w:tc>
          <w:tcPr>
            <w:tcW w:w="2963" w:type="pct"/>
            <w:shd w:val="clear" w:color="auto" w:fill="auto"/>
            <w:noWrap w:val="0"/>
            <w:vAlign w:val="center"/>
          </w:tcPr>
          <w:p w14:paraId="0D117806">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olor w:val="auto"/>
                <w:sz w:val="24"/>
              </w:rPr>
              <w:t>根据</w:t>
            </w:r>
            <w:r>
              <w:rPr>
                <w:rFonts w:hint="eastAsia" w:ascii="仿宋" w:hAnsi="仿宋" w:eastAsia="仿宋"/>
                <w:color w:val="auto"/>
                <w:sz w:val="24"/>
                <w:lang w:val="en-US" w:eastAsia="zh-CN"/>
              </w:rPr>
              <w:t>投标人</w:t>
            </w:r>
            <w:r>
              <w:rPr>
                <w:rFonts w:hint="eastAsia" w:ascii="仿宋" w:hAnsi="仿宋" w:eastAsia="仿宋"/>
                <w:color w:val="auto"/>
                <w:sz w:val="24"/>
              </w:rPr>
              <w:t>针对本项目提供的</w:t>
            </w:r>
            <w:r>
              <w:rPr>
                <w:rFonts w:hint="eastAsia" w:ascii="仿宋" w:hAnsi="仿宋" w:eastAsia="仿宋"/>
                <w:color w:val="auto"/>
                <w:sz w:val="24"/>
                <w:lang w:val="en-US" w:eastAsia="zh-CN"/>
              </w:rPr>
              <w:t>货源</w:t>
            </w:r>
            <w:r>
              <w:rPr>
                <w:rFonts w:hint="eastAsia" w:ascii="仿宋" w:hAnsi="仿宋" w:eastAsia="仿宋"/>
                <w:color w:val="auto"/>
                <w:sz w:val="24"/>
              </w:rPr>
              <w:t>方案进行</w:t>
            </w:r>
            <w:r>
              <w:rPr>
                <w:rFonts w:hint="eastAsia" w:ascii="仿宋" w:hAnsi="仿宋" w:eastAsia="仿宋"/>
                <w:color w:val="auto"/>
                <w:sz w:val="24"/>
                <w:lang w:val="en-US" w:eastAsia="zh-CN"/>
              </w:rPr>
              <w:t>打分</w:t>
            </w:r>
            <w:r>
              <w:rPr>
                <w:rFonts w:hint="eastAsia" w:ascii="仿宋" w:hAnsi="仿宋" w:eastAsia="仿宋"/>
                <w:color w:val="auto"/>
                <w:sz w:val="24"/>
              </w:rPr>
              <w:t>，包括以下评审内容：</w:t>
            </w:r>
          </w:p>
          <w:p w14:paraId="60E85C84">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s="仿宋_GB2312"/>
                <w:color w:val="auto"/>
                <w:spacing w:val="4"/>
                <w:sz w:val="24"/>
                <w:lang w:val="en-US" w:eastAsia="zh-CN"/>
              </w:rPr>
              <w:t>1.商品供货渠道方案</w:t>
            </w:r>
            <w:r>
              <w:rPr>
                <w:rFonts w:hint="eastAsia" w:ascii="仿宋" w:hAnsi="仿宋" w:eastAsia="仿宋"/>
                <w:color w:val="auto"/>
                <w:sz w:val="24"/>
              </w:rPr>
              <w:t>（</w:t>
            </w:r>
            <w:r>
              <w:rPr>
                <w:rFonts w:hint="eastAsia" w:ascii="仿宋" w:hAnsi="仿宋" w:eastAsia="仿宋"/>
                <w:color w:val="auto"/>
                <w:sz w:val="24"/>
                <w:lang w:val="en-US" w:eastAsia="zh-CN"/>
              </w:rPr>
              <w:t>4</w:t>
            </w:r>
            <w:r>
              <w:rPr>
                <w:rFonts w:hint="eastAsia" w:ascii="仿宋" w:hAnsi="仿宋" w:eastAsia="仿宋"/>
                <w:color w:val="auto"/>
                <w:sz w:val="24"/>
              </w:rPr>
              <w:t>分）</w:t>
            </w:r>
          </w:p>
          <w:p w14:paraId="64166CCC">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s="仿宋_GB2312"/>
                <w:color w:val="auto"/>
                <w:spacing w:val="4"/>
                <w:sz w:val="24"/>
                <w:lang w:val="en-US" w:eastAsia="zh-CN"/>
              </w:rPr>
              <w:t>2.商品品类多样化、货品安全性方案</w:t>
            </w:r>
            <w:r>
              <w:rPr>
                <w:rFonts w:hint="eastAsia" w:ascii="仿宋" w:hAnsi="仿宋" w:eastAsia="仿宋"/>
                <w:color w:val="auto"/>
                <w:sz w:val="24"/>
              </w:rPr>
              <w:t>（</w:t>
            </w:r>
            <w:r>
              <w:rPr>
                <w:rFonts w:hint="eastAsia" w:ascii="仿宋" w:hAnsi="仿宋" w:eastAsia="仿宋"/>
                <w:color w:val="auto"/>
                <w:sz w:val="24"/>
                <w:lang w:val="en-US" w:eastAsia="zh-CN"/>
              </w:rPr>
              <w:t>4</w:t>
            </w:r>
            <w:r>
              <w:rPr>
                <w:rFonts w:hint="eastAsia" w:ascii="仿宋" w:hAnsi="仿宋" w:eastAsia="仿宋"/>
                <w:color w:val="auto"/>
                <w:sz w:val="24"/>
              </w:rPr>
              <w:t>分）</w:t>
            </w:r>
          </w:p>
          <w:p w14:paraId="6BEC6EE6">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b w:val="0"/>
                <w:bCs w:val="0"/>
                <w:color w:val="auto"/>
                <w:sz w:val="24"/>
              </w:rPr>
            </w:pPr>
            <w:r>
              <w:rPr>
                <w:rFonts w:hint="eastAsia" w:ascii="仿宋" w:hAnsi="仿宋" w:eastAsia="仿宋"/>
                <w:b w:val="0"/>
                <w:bCs w:val="0"/>
                <w:color w:val="auto"/>
                <w:sz w:val="24"/>
              </w:rPr>
              <w:t>评审标准：</w:t>
            </w:r>
          </w:p>
          <w:p w14:paraId="1B0D83A9">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完整性：方案完整，切合本项目实际情况。</w:t>
            </w:r>
          </w:p>
          <w:p w14:paraId="51FE9F6D">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合理性：符合项目具体情况，提出的方案措施合理、恰当。</w:t>
            </w:r>
          </w:p>
          <w:p w14:paraId="614BF020">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简洁性：在不复杂、可理解的方式下，方案条理清晰，便于理解易读。</w:t>
            </w:r>
          </w:p>
          <w:p w14:paraId="38C4FF2E">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对上述</w:t>
            </w:r>
            <w:r>
              <w:rPr>
                <w:rFonts w:hint="eastAsia" w:ascii="仿宋" w:hAnsi="仿宋" w:eastAsia="仿宋"/>
                <w:color w:val="auto"/>
                <w:sz w:val="24"/>
                <w:lang w:val="en-US" w:eastAsia="zh-CN"/>
              </w:rPr>
              <w:t>2</w:t>
            </w:r>
            <w:r>
              <w:rPr>
                <w:rFonts w:hint="eastAsia" w:ascii="仿宋" w:hAnsi="仿宋" w:eastAsia="仿宋"/>
                <w:color w:val="auto"/>
                <w:sz w:val="24"/>
              </w:rPr>
              <w:t>项评审内容进行打分，每项评审内容完全满足</w:t>
            </w:r>
            <w:r>
              <w:rPr>
                <w:rFonts w:hint="eastAsia" w:ascii="仿宋" w:hAnsi="仿宋" w:eastAsia="仿宋"/>
                <w:color w:val="auto"/>
                <w:sz w:val="24"/>
                <w:lang w:val="en-US" w:eastAsia="zh-CN"/>
              </w:rPr>
              <w:t>3</w:t>
            </w:r>
            <w:r>
              <w:rPr>
                <w:rFonts w:hint="eastAsia" w:ascii="仿宋" w:hAnsi="仿宋" w:eastAsia="仿宋"/>
                <w:color w:val="auto"/>
                <w:sz w:val="24"/>
              </w:rPr>
              <w:t>项评审标准的得</w:t>
            </w:r>
            <w:r>
              <w:rPr>
                <w:rFonts w:hint="eastAsia" w:ascii="仿宋" w:hAnsi="仿宋" w:eastAsia="仿宋"/>
                <w:color w:val="auto"/>
                <w:sz w:val="24"/>
                <w:lang w:val="en-US" w:eastAsia="zh-CN"/>
              </w:rPr>
              <w:t>4</w:t>
            </w:r>
            <w:r>
              <w:rPr>
                <w:rFonts w:hint="eastAsia" w:ascii="仿宋" w:hAnsi="仿宋" w:eastAsia="仿宋"/>
                <w:color w:val="auto"/>
                <w:sz w:val="24"/>
              </w:rPr>
              <w:t>分，满足2项的得</w:t>
            </w:r>
            <w:r>
              <w:rPr>
                <w:rFonts w:hint="eastAsia" w:ascii="仿宋" w:hAnsi="仿宋" w:eastAsia="仿宋"/>
                <w:color w:val="auto"/>
                <w:sz w:val="24"/>
                <w:lang w:val="en-US" w:eastAsia="zh-CN"/>
              </w:rPr>
              <w:t>2</w:t>
            </w:r>
            <w:r>
              <w:rPr>
                <w:rFonts w:hint="eastAsia" w:ascii="仿宋" w:hAnsi="仿宋" w:eastAsia="仿宋"/>
                <w:color w:val="auto"/>
                <w:sz w:val="24"/>
              </w:rPr>
              <w:t>分，满足1项的得1分，其他情况不得分。</w:t>
            </w:r>
          </w:p>
        </w:tc>
      </w:tr>
      <w:tr w14:paraId="490A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vMerge w:val="continue"/>
            <w:noWrap w:val="0"/>
            <w:vAlign w:val="center"/>
          </w:tcPr>
          <w:p w14:paraId="3B86B106">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_GB2312"/>
                <w:color w:val="auto"/>
                <w:spacing w:val="4"/>
                <w:sz w:val="24"/>
              </w:rPr>
            </w:pPr>
          </w:p>
        </w:tc>
        <w:tc>
          <w:tcPr>
            <w:tcW w:w="741" w:type="pct"/>
            <w:shd w:val="clear" w:color="auto" w:fill="auto"/>
            <w:noWrap w:val="0"/>
            <w:vAlign w:val="center"/>
          </w:tcPr>
          <w:p w14:paraId="50370BA3">
            <w:pPr>
              <w:keepNext w:val="0"/>
              <w:keepLines w:val="0"/>
              <w:pageBreakBefore w:val="0"/>
              <w:kinsoku/>
              <w:wordWrap/>
              <w:overflowPunct/>
              <w:topLinePunct w:val="0"/>
              <w:autoSpaceDE/>
              <w:autoSpaceDN/>
              <w:bidi w:val="0"/>
              <w:adjustRightInd/>
              <w:spacing w:line="400" w:lineRule="exact"/>
              <w:jc w:val="center"/>
              <w:textAlignment w:val="auto"/>
              <w:rPr>
                <w:rFonts w:hint="default" w:ascii="仿宋" w:hAnsi="仿宋" w:eastAsia="仿宋"/>
                <w:color w:val="auto"/>
                <w:sz w:val="24"/>
                <w:lang w:val="en-US" w:eastAsia="zh-CN"/>
              </w:rPr>
            </w:pPr>
            <w:r>
              <w:rPr>
                <w:rFonts w:hint="eastAsia" w:ascii="仿宋" w:hAnsi="仿宋" w:eastAsia="仿宋"/>
                <w:color w:val="auto"/>
                <w:sz w:val="24"/>
                <w:lang w:val="en-US" w:eastAsia="zh-CN"/>
              </w:rPr>
              <w:t>网点分布</w:t>
            </w:r>
          </w:p>
        </w:tc>
        <w:tc>
          <w:tcPr>
            <w:tcW w:w="530" w:type="pct"/>
            <w:shd w:val="clear" w:color="auto" w:fill="auto"/>
            <w:noWrap w:val="0"/>
            <w:vAlign w:val="center"/>
          </w:tcPr>
          <w:p w14:paraId="0EF3024E">
            <w:pPr>
              <w:keepNext w:val="0"/>
              <w:keepLines w:val="0"/>
              <w:pageBreakBefore w:val="0"/>
              <w:kinsoku/>
              <w:wordWrap/>
              <w:overflowPunct/>
              <w:topLinePunct w:val="0"/>
              <w:autoSpaceDE/>
              <w:autoSpaceDN/>
              <w:bidi w:val="0"/>
              <w:adjustRightInd/>
              <w:spacing w:line="40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10分</w:t>
            </w:r>
          </w:p>
        </w:tc>
        <w:tc>
          <w:tcPr>
            <w:tcW w:w="2963" w:type="pct"/>
            <w:shd w:val="clear" w:color="auto" w:fill="auto"/>
            <w:noWrap w:val="0"/>
            <w:vAlign w:val="center"/>
          </w:tcPr>
          <w:p w14:paraId="3F142B48">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lang w:val="en-US" w:eastAsia="zh-CN"/>
              </w:rPr>
              <w:t>根据投标人提供的</w:t>
            </w:r>
            <w:r>
              <w:rPr>
                <w:rFonts w:hint="eastAsia" w:ascii="仿宋" w:hAnsi="仿宋" w:eastAsia="仿宋" w:cs="仿宋"/>
                <w:b w:val="0"/>
                <w:bCs w:val="0"/>
                <w:color w:val="auto"/>
                <w:sz w:val="24"/>
                <w:lang w:val="en-US" w:eastAsia="zh-CN"/>
              </w:rPr>
              <w:t>纪念品</w:t>
            </w:r>
            <w:r>
              <w:rPr>
                <w:rFonts w:hint="eastAsia" w:ascii="仿宋" w:hAnsi="仿宋" w:eastAsia="仿宋"/>
                <w:color w:val="auto"/>
                <w:sz w:val="24"/>
                <w:lang w:val="en-US" w:eastAsia="zh-CN"/>
              </w:rPr>
              <w:t>服务门店情况进行评审：投标人每有一个武汉市辖区内的得2分，同一市辖区多个门店只计分一次，满分10分，提供相关证明材料。</w:t>
            </w:r>
          </w:p>
        </w:tc>
      </w:tr>
      <w:tr w14:paraId="6E60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vMerge w:val="continue"/>
            <w:noWrap w:val="0"/>
            <w:vAlign w:val="center"/>
          </w:tcPr>
          <w:p w14:paraId="0A8E73FB">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_GB2312"/>
                <w:color w:val="auto"/>
                <w:spacing w:val="4"/>
                <w:sz w:val="24"/>
              </w:rPr>
            </w:pPr>
          </w:p>
        </w:tc>
        <w:tc>
          <w:tcPr>
            <w:tcW w:w="1263" w:type="dxa"/>
            <w:shd w:val="clear" w:color="auto" w:fill="auto"/>
            <w:noWrap w:val="0"/>
            <w:vAlign w:val="center"/>
          </w:tcPr>
          <w:p w14:paraId="23C930B4">
            <w:pPr>
              <w:keepNext w:val="0"/>
              <w:keepLines w:val="0"/>
              <w:pageBreakBefore w:val="0"/>
              <w:kinsoku/>
              <w:wordWrap/>
              <w:overflowPunct/>
              <w:topLinePunct w:val="0"/>
              <w:autoSpaceDE/>
              <w:autoSpaceDN/>
              <w:bidi w:val="0"/>
              <w:adjustRightInd/>
              <w:spacing w:line="400" w:lineRule="exact"/>
              <w:jc w:val="center"/>
              <w:textAlignment w:val="auto"/>
              <w:rPr>
                <w:rFonts w:hint="default" w:ascii="仿宋" w:hAnsi="仿宋" w:eastAsia="仿宋"/>
                <w:color w:val="auto"/>
                <w:sz w:val="24"/>
                <w:lang w:val="en-US" w:eastAsia="zh-CN"/>
              </w:rPr>
            </w:pPr>
            <w:r>
              <w:rPr>
                <w:rFonts w:hint="eastAsia" w:ascii="仿宋" w:hAnsi="仿宋" w:eastAsia="仿宋"/>
                <w:color w:val="auto"/>
                <w:sz w:val="24"/>
                <w:lang w:val="en-US" w:eastAsia="zh-CN"/>
              </w:rPr>
              <w:t>人员配备</w:t>
            </w:r>
          </w:p>
        </w:tc>
        <w:tc>
          <w:tcPr>
            <w:tcW w:w="904" w:type="dxa"/>
            <w:shd w:val="clear" w:color="auto" w:fill="auto"/>
            <w:noWrap w:val="0"/>
            <w:vAlign w:val="center"/>
          </w:tcPr>
          <w:p w14:paraId="09164143">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tc>
        <w:tc>
          <w:tcPr>
            <w:tcW w:w="5051" w:type="dxa"/>
            <w:shd w:val="clear" w:color="auto" w:fill="auto"/>
            <w:noWrap w:val="0"/>
            <w:vAlign w:val="center"/>
          </w:tcPr>
          <w:p w14:paraId="608E3586">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olor w:val="auto"/>
                <w:sz w:val="24"/>
              </w:rPr>
              <w:t>根据</w:t>
            </w:r>
            <w:r>
              <w:rPr>
                <w:rFonts w:hint="eastAsia" w:ascii="仿宋" w:hAnsi="仿宋" w:eastAsia="仿宋"/>
                <w:color w:val="auto"/>
                <w:sz w:val="24"/>
                <w:lang w:val="en-US" w:eastAsia="zh-CN"/>
              </w:rPr>
              <w:t>投标人</w:t>
            </w:r>
            <w:r>
              <w:rPr>
                <w:rFonts w:hint="eastAsia" w:ascii="仿宋" w:hAnsi="仿宋" w:eastAsia="仿宋"/>
                <w:color w:val="auto"/>
                <w:sz w:val="24"/>
              </w:rPr>
              <w:t>针对本项目提供的供货方案进行</w:t>
            </w:r>
            <w:r>
              <w:rPr>
                <w:rFonts w:hint="eastAsia" w:ascii="仿宋" w:hAnsi="仿宋" w:eastAsia="仿宋"/>
                <w:color w:val="auto"/>
                <w:sz w:val="24"/>
                <w:lang w:val="en-US" w:eastAsia="zh-CN"/>
              </w:rPr>
              <w:t>打分</w:t>
            </w:r>
            <w:r>
              <w:rPr>
                <w:rFonts w:hint="eastAsia" w:ascii="仿宋" w:hAnsi="仿宋" w:eastAsia="仿宋"/>
                <w:color w:val="auto"/>
                <w:sz w:val="24"/>
              </w:rPr>
              <w:t>，包括以下评审内容：</w:t>
            </w:r>
          </w:p>
          <w:p w14:paraId="0CC76107">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s="仿宋_GB2312"/>
                <w:color w:val="auto"/>
                <w:spacing w:val="4"/>
                <w:sz w:val="24"/>
                <w:lang w:val="en-US" w:eastAsia="zh-CN"/>
              </w:rPr>
              <w:t>1.人员配备投入方案（含专人负责）</w:t>
            </w:r>
            <w:r>
              <w:rPr>
                <w:rFonts w:hint="eastAsia" w:ascii="仿宋" w:hAnsi="仿宋" w:eastAsia="仿宋"/>
                <w:color w:val="auto"/>
                <w:sz w:val="24"/>
              </w:rPr>
              <w:t>（</w:t>
            </w:r>
            <w:r>
              <w:rPr>
                <w:rFonts w:hint="eastAsia" w:ascii="仿宋" w:hAnsi="仿宋" w:eastAsia="仿宋"/>
                <w:color w:val="auto"/>
                <w:sz w:val="24"/>
                <w:lang w:val="en-US" w:eastAsia="zh-CN"/>
              </w:rPr>
              <w:t>3</w:t>
            </w:r>
            <w:r>
              <w:rPr>
                <w:rFonts w:hint="eastAsia" w:ascii="仿宋" w:hAnsi="仿宋" w:eastAsia="仿宋"/>
                <w:color w:val="auto"/>
                <w:sz w:val="24"/>
              </w:rPr>
              <w:t>分）</w:t>
            </w:r>
          </w:p>
          <w:p w14:paraId="50CC0158">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b w:val="0"/>
                <w:bCs w:val="0"/>
                <w:color w:val="auto"/>
                <w:sz w:val="24"/>
              </w:rPr>
            </w:pPr>
            <w:r>
              <w:rPr>
                <w:rFonts w:hint="eastAsia" w:ascii="仿宋" w:hAnsi="仿宋" w:eastAsia="仿宋"/>
                <w:b w:val="0"/>
                <w:bCs w:val="0"/>
                <w:color w:val="auto"/>
                <w:sz w:val="24"/>
              </w:rPr>
              <w:t>评审标准：</w:t>
            </w:r>
          </w:p>
          <w:p w14:paraId="416EC1D6">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完整性：方案完整，切合本项目实际情况。</w:t>
            </w:r>
          </w:p>
          <w:p w14:paraId="3E2C023A">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合理性：符合项目具体情况，提出的方案措施合理、恰当。</w:t>
            </w:r>
          </w:p>
          <w:p w14:paraId="28C00365">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简洁性：在不复杂、可理解的方式下，方案条理清晰，便于理解易读。</w:t>
            </w:r>
          </w:p>
          <w:p w14:paraId="0D36B5E2">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对上述</w:t>
            </w:r>
            <w:r>
              <w:rPr>
                <w:rFonts w:hint="eastAsia" w:ascii="仿宋" w:hAnsi="仿宋" w:eastAsia="仿宋"/>
                <w:color w:val="auto"/>
                <w:sz w:val="24"/>
                <w:lang w:val="en-US" w:eastAsia="zh-CN"/>
              </w:rPr>
              <w:t>1</w:t>
            </w:r>
            <w:r>
              <w:rPr>
                <w:rFonts w:hint="eastAsia" w:ascii="仿宋" w:hAnsi="仿宋" w:eastAsia="仿宋"/>
                <w:color w:val="auto"/>
                <w:sz w:val="24"/>
              </w:rPr>
              <w:t>项评审内容进行打分，每项评审内容完全满足</w:t>
            </w:r>
            <w:r>
              <w:rPr>
                <w:rFonts w:hint="eastAsia" w:ascii="仿宋" w:hAnsi="仿宋" w:eastAsia="仿宋"/>
                <w:color w:val="auto"/>
                <w:sz w:val="24"/>
                <w:lang w:val="en-US" w:eastAsia="zh-CN"/>
              </w:rPr>
              <w:t>3</w:t>
            </w:r>
            <w:r>
              <w:rPr>
                <w:rFonts w:hint="eastAsia" w:ascii="仿宋" w:hAnsi="仿宋" w:eastAsia="仿宋"/>
                <w:color w:val="auto"/>
                <w:sz w:val="24"/>
              </w:rPr>
              <w:t>项评审标准的得</w:t>
            </w:r>
            <w:r>
              <w:rPr>
                <w:rFonts w:hint="eastAsia" w:ascii="仿宋" w:hAnsi="仿宋" w:eastAsia="仿宋"/>
                <w:color w:val="auto"/>
                <w:sz w:val="24"/>
                <w:lang w:val="en-US" w:eastAsia="zh-CN"/>
              </w:rPr>
              <w:t>3</w:t>
            </w:r>
            <w:r>
              <w:rPr>
                <w:rFonts w:hint="eastAsia" w:ascii="仿宋" w:hAnsi="仿宋" w:eastAsia="仿宋"/>
                <w:color w:val="auto"/>
                <w:sz w:val="24"/>
              </w:rPr>
              <w:t>分，满足2项的得</w:t>
            </w:r>
            <w:r>
              <w:rPr>
                <w:rFonts w:hint="eastAsia" w:ascii="仿宋" w:hAnsi="仿宋" w:eastAsia="仿宋"/>
                <w:color w:val="auto"/>
                <w:sz w:val="24"/>
                <w:lang w:val="en-US" w:eastAsia="zh-CN"/>
              </w:rPr>
              <w:t>2</w:t>
            </w:r>
            <w:r>
              <w:rPr>
                <w:rFonts w:hint="eastAsia" w:ascii="仿宋" w:hAnsi="仿宋" w:eastAsia="仿宋"/>
                <w:color w:val="auto"/>
                <w:sz w:val="24"/>
              </w:rPr>
              <w:t>分，满足1项的得1分，其他情况不得分。</w:t>
            </w:r>
          </w:p>
        </w:tc>
      </w:tr>
      <w:tr w14:paraId="7842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vMerge w:val="continue"/>
            <w:noWrap w:val="0"/>
            <w:vAlign w:val="center"/>
          </w:tcPr>
          <w:p w14:paraId="744AECE4">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color w:val="auto"/>
                <w:spacing w:val="4"/>
                <w:sz w:val="24"/>
              </w:rPr>
            </w:pPr>
          </w:p>
        </w:tc>
        <w:tc>
          <w:tcPr>
            <w:tcW w:w="741" w:type="pct"/>
            <w:tcBorders>
              <w:left w:val="nil"/>
            </w:tcBorders>
            <w:noWrap w:val="0"/>
            <w:vAlign w:val="center"/>
          </w:tcPr>
          <w:p w14:paraId="677CE7E1">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质量控制方案</w:t>
            </w:r>
          </w:p>
        </w:tc>
        <w:tc>
          <w:tcPr>
            <w:tcW w:w="530" w:type="pct"/>
            <w:noWrap w:val="0"/>
            <w:vAlign w:val="center"/>
          </w:tcPr>
          <w:p w14:paraId="48F04A73">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olor w:val="auto"/>
                <w:sz w:val="24"/>
                <w:highlight w:val="none"/>
                <w:lang w:val="en-US" w:eastAsia="zh-CN"/>
              </w:rPr>
            </w:pPr>
            <w:r>
              <w:rPr>
                <w:rFonts w:hint="eastAsia" w:ascii="仿宋" w:hAnsi="仿宋" w:eastAsia="仿宋" w:cs="仿宋"/>
                <w:color w:val="auto"/>
                <w:sz w:val="24"/>
                <w:szCs w:val="24"/>
                <w:lang w:val="en-US" w:eastAsia="zh-CN"/>
              </w:rPr>
              <w:t>8分</w:t>
            </w:r>
          </w:p>
        </w:tc>
        <w:tc>
          <w:tcPr>
            <w:tcW w:w="2963" w:type="pct"/>
            <w:noWrap w:val="0"/>
            <w:vAlign w:val="center"/>
          </w:tcPr>
          <w:p w14:paraId="0539920C">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olor w:val="auto"/>
                <w:sz w:val="24"/>
              </w:rPr>
              <w:t>根据</w:t>
            </w:r>
            <w:r>
              <w:rPr>
                <w:rFonts w:hint="eastAsia" w:ascii="仿宋" w:hAnsi="仿宋" w:eastAsia="仿宋"/>
                <w:color w:val="auto"/>
                <w:sz w:val="24"/>
                <w:lang w:val="en-US" w:eastAsia="zh-CN"/>
              </w:rPr>
              <w:t>投标人</w:t>
            </w:r>
            <w:r>
              <w:rPr>
                <w:rFonts w:hint="eastAsia" w:ascii="仿宋" w:hAnsi="仿宋" w:eastAsia="仿宋"/>
                <w:color w:val="auto"/>
                <w:sz w:val="24"/>
              </w:rPr>
              <w:t>针对本项目提供的</w:t>
            </w:r>
            <w:r>
              <w:rPr>
                <w:rFonts w:hint="eastAsia" w:ascii="仿宋" w:hAnsi="仿宋" w:eastAsia="仿宋" w:cs="仿宋"/>
                <w:color w:val="auto"/>
                <w:sz w:val="24"/>
              </w:rPr>
              <w:t>质量控制方案</w:t>
            </w:r>
            <w:r>
              <w:rPr>
                <w:rFonts w:hint="eastAsia" w:ascii="仿宋" w:hAnsi="仿宋" w:eastAsia="仿宋"/>
                <w:color w:val="auto"/>
                <w:sz w:val="24"/>
              </w:rPr>
              <w:t>进行</w:t>
            </w:r>
            <w:r>
              <w:rPr>
                <w:rFonts w:hint="eastAsia" w:ascii="仿宋" w:hAnsi="仿宋" w:eastAsia="仿宋"/>
                <w:color w:val="auto"/>
                <w:sz w:val="24"/>
                <w:lang w:val="en-US" w:eastAsia="zh-CN"/>
              </w:rPr>
              <w:t>打分</w:t>
            </w:r>
            <w:r>
              <w:rPr>
                <w:rFonts w:hint="eastAsia" w:ascii="仿宋" w:hAnsi="仿宋" w:eastAsia="仿宋"/>
                <w:color w:val="auto"/>
                <w:sz w:val="24"/>
              </w:rPr>
              <w:t>，包括以下评审内容：</w:t>
            </w:r>
          </w:p>
          <w:p w14:paraId="2292D9DA">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s="仿宋_GB2312"/>
                <w:color w:val="auto"/>
                <w:spacing w:val="4"/>
                <w:sz w:val="24"/>
                <w:lang w:val="en-US" w:eastAsia="zh-CN"/>
              </w:rPr>
              <w:t>1.</w:t>
            </w:r>
            <w:r>
              <w:rPr>
                <w:rFonts w:hint="eastAsia" w:ascii="仿宋" w:hAnsi="仿宋" w:eastAsia="仿宋" w:cs="仿宋"/>
                <w:color w:val="auto"/>
                <w:sz w:val="24"/>
              </w:rPr>
              <w:t>质量控制方案</w:t>
            </w:r>
            <w:r>
              <w:rPr>
                <w:rFonts w:hint="eastAsia" w:ascii="仿宋" w:hAnsi="仿宋" w:eastAsia="仿宋" w:cs="仿宋"/>
                <w:color w:val="auto"/>
                <w:sz w:val="24"/>
                <w:lang w:eastAsia="zh-CN"/>
              </w:rPr>
              <w:t>（服务质量、卫生保证措施及内控管理制度建设）</w:t>
            </w:r>
            <w:r>
              <w:rPr>
                <w:rFonts w:hint="eastAsia" w:ascii="仿宋" w:hAnsi="仿宋" w:eastAsia="仿宋"/>
                <w:color w:val="auto"/>
                <w:sz w:val="24"/>
              </w:rPr>
              <w:t>（</w:t>
            </w:r>
            <w:r>
              <w:rPr>
                <w:rFonts w:hint="eastAsia" w:ascii="仿宋" w:hAnsi="仿宋" w:eastAsia="仿宋"/>
                <w:color w:val="auto"/>
                <w:sz w:val="24"/>
                <w:lang w:val="en-US" w:eastAsia="zh-CN"/>
              </w:rPr>
              <w:t>4</w:t>
            </w:r>
            <w:r>
              <w:rPr>
                <w:rFonts w:hint="eastAsia" w:ascii="仿宋" w:hAnsi="仿宋" w:eastAsia="仿宋"/>
                <w:color w:val="auto"/>
                <w:sz w:val="24"/>
              </w:rPr>
              <w:t>分）</w:t>
            </w:r>
          </w:p>
          <w:p w14:paraId="4C610EF0">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s="仿宋_GB2312"/>
                <w:color w:val="auto"/>
                <w:spacing w:val="4"/>
                <w:sz w:val="24"/>
                <w:lang w:val="en-US" w:eastAsia="zh-CN"/>
              </w:rPr>
              <w:t>2.</w:t>
            </w:r>
            <w:r>
              <w:rPr>
                <w:rFonts w:hint="eastAsia" w:ascii="仿宋" w:hAnsi="仿宋" w:eastAsia="仿宋" w:cs="仿宋"/>
                <w:color w:val="auto"/>
                <w:sz w:val="24"/>
              </w:rPr>
              <w:t>相关质量承诺及处罚</w:t>
            </w:r>
            <w:r>
              <w:rPr>
                <w:rFonts w:hint="eastAsia" w:ascii="仿宋" w:hAnsi="仿宋" w:eastAsia="仿宋"/>
                <w:color w:val="auto"/>
                <w:sz w:val="24"/>
              </w:rPr>
              <w:t>（</w:t>
            </w:r>
            <w:r>
              <w:rPr>
                <w:rFonts w:hint="eastAsia" w:ascii="仿宋" w:hAnsi="仿宋" w:eastAsia="仿宋"/>
                <w:color w:val="auto"/>
                <w:sz w:val="24"/>
                <w:lang w:val="en-US" w:eastAsia="zh-CN"/>
              </w:rPr>
              <w:t>4</w:t>
            </w:r>
            <w:r>
              <w:rPr>
                <w:rFonts w:hint="eastAsia" w:ascii="仿宋" w:hAnsi="仿宋" w:eastAsia="仿宋"/>
                <w:color w:val="auto"/>
                <w:sz w:val="24"/>
              </w:rPr>
              <w:t>分）</w:t>
            </w:r>
          </w:p>
          <w:p w14:paraId="0DAA90E9">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b w:val="0"/>
                <w:bCs w:val="0"/>
                <w:color w:val="auto"/>
                <w:sz w:val="24"/>
              </w:rPr>
            </w:pPr>
            <w:r>
              <w:rPr>
                <w:rFonts w:hint="eastAsia" w:ascii="仿宋" w:hAnsi="仿宋" w:eastAsia="仿宋"/>
                <w:b w:val="0"/>
                <w:bCs w:val="0"/>
                <w:color w:val="auto"/>
                <w:sz w:val="24"/>
              </w:rPr>
              <w:t>评审标准：</w:t>
            </w:r>
          </w:p>
          <w:p w14:paraId="7A9B9855">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完整性：方案完整，切合本项目实际情况。</w:t>
            </w:r>
          </w:p>
          <w:p w14:paraId="254E43B7">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合理性：符合项目具体情况，提出的</w:t>
            </w:r>
            <w:r>
              <w:rPr>
                <w:rFonts w:hint="eastAsia" w:ascii="仿宋" w:hAnsi="仿宋" w:eastAsia="仿宋" w:cs="仿宋"/>
                <w:color w:val="auto"/>
                <w:sz w:val="24"/>
              </w:rPr>
              <w:t>方案</w:t>
            </w:r>
            <w:r>
              <w:rPr>
                <w:rFonts w:hint="eastAsia" w:ascii="仿宋" w:hAnsi="仿宋" w:eastAsia="仿宋"/>
                <w:color w:val="auto"/>
                <w:sz w:val="24"/>
              </w:rPr>
              <w:t>措施合理、恰当。</w:t>
            </w:r>
          </w:p>
          <w:p w14:paraId="70DF4021">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简洁性：在不复杂、可理解的方式下，方案条理清晰，便于理解易读。</w:t>
            </w:r>
          </w:p>
          <w:p w14:paraId="1EA6C57D">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s="仿宋_GB2312"/>
                <w:color w:val="auto"/>
                <w:spacing w:val="4"/>
                <w:sz w:val="24"/>
                <w:highlight w:val="none"/>
              </w:rPr>
            </w:pPr>
            <w:r>
              <w:rPr>
                <w:rFonts w:hint="eastAsia" w:ascii="仿宋" w:hAnsi="仿宋" w:eastAsia="仿宋"/>
                <w:color w:val="auto"/>
                <w:sz w:val="24"/>
              </w:rPr>
              <w:t>对上述</w:t>
            </w:r>
            <w:r>
              <w:rPr>
                <w:rFonts w:hint="eastAsia" w:ascii="仿宋" w:hAnsi="仿宋" w:eastAsia="仿宋"/>
                <w:color w:val="auto"/>
                <w:sz w:val="24"/>
                <w:lang w:val="en-US" w:eastAsia="zh-CN"/>
              </w:rPr>
              <w:t>2</w:t>
            </w:r>
            <w:r>
              <w:rPr>
                <w:rFonts w:hint="eastAsia" w:ascii="仿宋" w:hAnsi="仿宋" w:eastAsia="仿宋"/>
                <w:color w:val="auto"/>
                <w:sz w:val="24"/>
              </w:rPr>
              <w:t>项评审内容进行打分，每项评审内容完全满足</w:t>
            </w:r>
            <w:r>
              <w:rPr>
                <w:rFonts w:hint="eastAsia" w:ascii="仿宋" w:hAnsi="仿宋" w:eastAsia="仿宋"/>
                <w:color w:val="auto"/>
                <w:sz w:val="24"/>
                <w:lang w:val="en-US" w:eastAsia="zh-CN"/>
              </w:rPr>
              <w:t>3</w:t>
            </w:r>
            <w:r>
              <w:rPr>
                <w:rFonts w:hint="eastAsia" w:ascii="仿宋" w:hAnsi="仿宋" w:eastAsia="仿宋"/>
                <w:color w:val="auto"/>
                <w:sz w:val="24"/>
              </w:rPr>
              <w:t>项评审标准的得</w:t>
            </w:r>
            <w:r>
              <w:rPr>
                <w:rFonts w:hint="eastAsia" w:ascii="仿宋" w:hAnsi="仿宋" w:eastAsia="仿宋"/>
                <w:color w:val="auto"/>
                <w:sz w:val="24"/>
                <w:lang w:val="en-US" w:eastAsia="zh-CN"/>
              </w:rPr>
              <w:t>4</w:t>
            </w:r>
            <w:r>
              <w:rPr>
                <w:rFonts w:hint="eastAsia" w:ascii="仿宋" w:hAnsi="仿宋" w:eastAsia="仿宋"/>
                <w:color w:val="auto"/>
                <w:sz w:val="24"/>
              </w:rPr>
              <w:t>分，满足2项的得</w:t>
            </w:r>
            <w:r>
              <w:rPr>
                <w:rFonts w:hint="eastAsia" w:ascii="仿宋" w:hAnsi="仿宋" w:eastAsia="仿宋"/>
                <w:color w:val="auto"/>
                <w:sz w:val="24"/>
                <w:lang w:val="en-US" w:eastAsia="zh-CN"/>
              </w:rPr>
              <w:t>2</w:t>
            </w:r>
            <w:r>
              <w:rPr>
                <w:rFonts w:hint="eastAsia" w:ascii="仿宋" w:hAnsi="仿宋" w:eastAsia="仿宋"/>
                <w:color w:val="auto"/>
                <w:sz w:val="24"/>
              </w:rPr>
              <w:t>分，满足1项的得</w:t>
            </w:r>
            <w:r>
              <w:rPr>
                <w:rFonts w:hint="eastAsia" w:ascii="仿宋" w:hAnsi="仿宋" w:eastAsia="仿宋"/>
                <w:color w:val="auto"/>
                <w:sz w:val="24"/>
                <w:lang w:val="en-US" w:eastAsia="zh-CN"/>
              </w:rPr>
              <w:t>1</w:t>
            </w:r>
            <w:r>
              <w:rPr>
                <w:rFonts w:hint="eastAsia" w:ascii="仿宋" w:hAnsi="仿宋" w:eastAsia="仿宋"/>
                <w:color w:val="auto"/>
                <w:sz w:val="24"/>
              </w:rPr>
              <w:t>分，其他情况不得分。</w:t>
            </w:r>
          </w:p>
        </w:tc>
      </w:tr>
      <w:tr w14:paraId="3CC3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vMerge w:val="continue"/>
            <w:noWrap w:val="0"/>
            <w:vAlign w:val="center"/>
          </w:tcPr>
          <w:p w14:paraId="0A9C9722">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color w:val="auto"/>
                <w:spacing w:val="4"/>
                <w:sz w:val="24"/>
              </w:rPr>
            </w:pPr>
          </w:p>
        </w:tc>
        <w:tc>
          <w:tcPr>
            <w:tcW w:w="741" w:type="pct"/>
            <w:tcBorders>
              <w:left w:val="nil"/>
            </w:tcBorders>
            <w:noWrap w:val="0"/>
            <w:vAlign w:val="center"/>
          </w:tcPr>
          <w:p w14:paraId="43881AA4">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售后服务</w:t>
            </w:r>
          </w:p>
          <w:p w14:paraId="0D910FBD">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rPr>
              <w:t>方案</w:t>
            </w:r>
          </w:p>
        </w:tc>
        <w:tc>
          <w:tcPr>
            <w:tcW w:w="530" w:type="pct"/>
            <w:noWrap w:val="0"/>
            <w:vAlign w:val="center"/>
          </w:tcPr>
          <w:p w14:paraId="083E52D7">
            <w:pPr>
              <w:keepNext w:val="0"/>
              <w:keepLines w:val="0"/>
              <w:pageBreakBefore w:val="0"/>
              <w:kinsoku/>
              <w:wordWrap/>
              <w:overflowPunct/>
              <w:topLinePunct w:val="0"/>
              <w:autoSpaceDE/>
              <w:autoSpaceDN/>
              <w:bidi w:val="0"/>
              <w:adjustRightIn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lang w:val="en-US" w:eastAsia="zh-CN"/>
              </w:rPr>
              <w:t>6分</w:t>
            </w:r>
          </w:p>
        </w:tc>
        <w:tc>
          <w:tcPr>
            <w:tcW w:w="2963" w:type="pct"/>
            <w:noWrap w:val="0"/>
            <w:vAlign w:val="center"/>
          </w:tcPr>
          <w:p w14:paraId="548DEB4B">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olor w:val="auto"/>
                <w:sz w:val="24"/>
              </w:rPr>
              <w:t>根据</w:t>
            </w:r>
            <w:r>
              <w:rPr>
                <w:rFonts w:hint="eastAsia" w:ascii="仿宋" w:hAnsi="仿宋" w:eastAsia="仿宋"/>
                <w:color w:val="auto"/>
                <w:sz w:val="24"/>
                <w:lang w:val="en-US" w:eastAsia="zh-CN"/>
              </w:rPr>
              <w:t>投标人</w:t>
            </w:r>
            <w:r>
              <w:rPr>
                <w:rFonts w:hint="eastAsia" w:ascii="仿宋" w:hAnsi="仿宋" w:eastAsia="仿宋"/>
                <w:color w:val="auto"/>
                <w:sz w:val="24"/>
              </w:rPr>
              <w:t>针对本项目提供的</w:t>
            </w:r>
            <w:r>
              <w:rPr>
                <w:rFonts w:hint="eastAsia" w:ascii="仿宋" w:hAnsi="仿宋" w:eastAsia="仿宋" w:cs="仿宋"/>
                <w:color w:val="auto"/>
                <w:sz w:val="24"/>
              </w:rPr>
              <w:t>售后服务方案</w:t>
            </w:r>
            <w:r>
              <w:rPr>
                <w:rFonts w:hint="eastAsia" w:ascii="仿宋" w:hAnsi="仿宋" w:eastAsia="仿宋"/>
                <w:color w:val="auto"/>
                <w:sz w:val="24"/>
              </w:rPr>
              <w:t>进行</w:t>
            </w:r>
            <w:r>
              <w:rPr>
                <w:rFonts w:hint="eastAsia" w:ascii="仿宋" w:hAnsi="仿宋" w:eastAsia="仿宋"/>
                <w:color w:val="auto"/>
                <w:sz w:val="24"/>
                <w:lang w:val="en-US" w:eastAsia="zh-CN"/>
              </w:rPr>
              <w:t>打分</w:t>
            </w:r>
            <w:r>
              <w:rPr>
                <w:rFonts w:hint="eastAsia" w:ascii="仿宋" w:hAnsi="仿宋" w:eastAsia="仿宋"/>
                <w:color w:val="auto"/>
                <w:sz w:val="24"/>
              </w:rPr>
              <w:t>，包括以下评审内容：</w:t>
            </w:r>
          </w:p>
          <w:p w14:paraId="085F9639">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s="仿宋_GB2312"/>
                <w:color w:val="auto"/>
                <w:spacing w:val="4"/>
                <w:sz w:val="24"/>
                <w:lang w:val="en-US" w:eastAsia="zh-CN"/>
              </w:rPr>
              <w:t>1.</w:t>
            </w:r>
            <w:r>
              <w:rPr>
                <w:rFonts w:hint="eastAsia" w:ascii="仿宋" w:hAnsi="仿宋" w:eastAsia="仿宋" w:cs="仿宋_GB2312"/>
                <w:color w:val="auto"/>
                <w:spacing w:val="4"/>
                <w:sz w:val="24"/>
              </w:rPr>
              <w:t>提货券使用问题方案</w:t>
            </w:r>
            <w:r>
              <w:rPr>
                <w:rFonts w:hint="eastAsia" w:ascii="仿宋" w:hAnsi="仿宋" w:eastAsia="仿宋"/>
                <w:color w:val="auto"/>
                <w:sz w:val="24"/>
              </w:rPr>
              <w:t>（</w:t>
            </w:r>
            <w:r>
              <w:rPr>
                <w:rFonts w:hint="eastAsia" w:ascii="仿宋" w:hAnsi="仿宋" w:eastAsia="仿宋"/>
                <w:color w:val="auto"/>
                <w:sz w:val="24"/>
                <w:lang w:val="en-US" w:eastAsia="zh-CN"/>
              </w:rPr>
              <w:t>3</w:t>
            </w:r>
            <w:r>
              <w:rPr>
                <w:rFonts w:hint="eastAsia" w:ascii="仿宋" w:hAnsi="仿宋" w:eastAsia="仿宋"/>
                <w:color w:val="auto"/>
                <w:sz w:val="24"/>
              </w:rPr>
              <w:t>分）</w:t>
            </w:r>
          </w:p>
          <w:p w14:paraId="60705F7B">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s="仿宋_GB2312"/>
                <w:color w:val="auto"/>
                <w:spacing w:val="4"/>
                <w:sz w:val="24"/>
                <w:lang w:val="en-US" w:eastAsia="zh-CN"/>
              </w:rPr>
              <w:t>2.</w:t>
            </w:r>
            <w:r>
              <w:rPr>
                <w:rFonts w:hint="eastAsia" w:ascii="仿宋" w:hAnsi="仿宋" w:eastAsia="仿宋" w:cs="仿宋"/>
                <w:b w:val="0"/>
                <w:bCs w:val="0"/>
                <w:color w:val="auto"/>
                <w:sz w:val="24"/>
                <w:lang w:val="en-US" w:eastAsia="zh-CN"/>
              </w:rPr>
              <w:t>纪念品</w:t>
            </w:r>
            <w:r>
              <w:rPr>
                <w:rFonts w:hint="eastAsia" w:ascii="仿宋" w:hAnsi="仿宋" w:eastAsia="仿宋" w:cs="仿宋_GB2312"/>
                <w:color w:val="auto"/>
                <w:spacing w:val="4"/>
                <w:sz w:val="24"/>
              </w:rPr>
              <w:t>售后问题、退换货服务</w:t>
            </w:r>
            <w:r>
              <w:rPr>
                <w:rFonts w:hint="eastAsia" w:ascii="仿宋" w:hAnsi="仿宋" w:eastAsia="仿宋"/>
                <w:color w:val="auto"/>
                <w:sz w:val="24"/>
              </w:rPr>
              <w:t>（</w:t>
            </w:r>
            <w:r>
              <w:rPr>
                <w:rFonts w:hint="eastAsia" w:ascii="仿宋" w:hAnsi="仿宋" w:eastAsia="仿宋"/>
                <w:color w:val="auto"/>
                <w:sz w:val="24"/>
                <w:lang w:val="en-US" w:eastAsia="zh-CN"/>
              </w:rPr>
              <w:t>3</w:t>
            </w:r>
            <w:r>
              <w:rPr>
                <w:rFonts w:hint="eastAsia" w:ascii="仿宋" w:hAnsi="仿宋" w:eastAsia="仿宋"/>
                <w:color w:val="auto"/>
                <w:sz w:val="24"/>
              </w:rPr>
              <w:t>分）</w:t>
            </w:r>
          </w:p>
          <w:p w14:paraId="185548DD">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b w:val="0"/>
                <w:bCs w:val="0"/>
                <w:color w:val="auto"/>
                <w:sz w:val="24"/>
              </w:rPr>
            </w:pPr>
            <w:r>
              <w:rPr>
                <w:rFonts w:hint="eastAsia" w:ascii="仿宋" w:hAnsi="仿宋" w:eastAsia="仿宋"/>
                <w:b w:val="0"/>
                <w:bCs w:val="0"/>
                <w:color w:val="auto"/>
                <w:sz w:val="24"/>
              </w:rPr>
              <w:t>评审标准：</w:t>
            </w:r>
          </w:p>
          <w:p w14:paraId="6B8BD3F1">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完整性：方案完整，切合本项目实际情况。</w:t>
            </w:r>
          </w:p>
          <w:p w14:paraId="2EB88AD2">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合理性：符合项目具体情况，提出的方案合理、恰当。</w:t>
            </w:r>
          </w:p>
          <w:p w14:paraId="64B65677">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简洁性：在不复杂、可理解的方式下，方案条理清晰，便于理解易读。</w:t>
            </w:r>
          </w:p>
          <w:p w14:paraId="70929C43">
            <w:pPr>
              <w:keepNext w:val="0"/>
              <w:keepLines w:val="0"/>
              <w:pageBreakBefore w:val="0"/>
              <w:kinsoku/>
              <w:wordWrap/>
              <w:overflowPunct/>
              <w:topLinePunct w:val="0"/>
              <w:autoSpaceDE/>
              <w:autoSpaceDN/>
              <w:bidi w:val="0"/>
              <w:adjustRightInd/>
              <w:spacing w:line="400" w:lineRule="exact"/>
              <w:textAlignment w:val="auto"/>
              <w:rPr>
                <w:rFonts w:hint="default" w:ascii="仿宋" w:hAnsi="仿宋" w:eastAsia="仿宋" w:cs="仿宋"/>
                <w:color w:val="auto"/>
                <w:sz w:val="24"/>
                <w:highlight w:val="none"/>
                <w:lang w:val="en-US" w:eastAsia="zh-CN"/>
              </w:rPr>
            </w:pPr>
            <w:r>
              <w:rPr>
                <w:rFonts w:hint="eastAsia" w:ascii="仿宋" w:hAnsi="仿宋" w:eastAsia="仿宋"/>
                <w:color w:val="auto"/>
                <w:sz w:val="24"/>
              </w:rPr>
              <w:t>对上述</w:t>
            </w:r>
            <w:r>
              <w:rPr>
                <w:rFonts w:hint="eastAsia" w:ascii="仿宋" w:hAnsi="仿宋" w:eastAsia="仿宋"/>
                <w:color w:val="auto"/>
                <w:sz w:val="24"/>
                <w:lang w:val="en-US" w:eastAsia="zh-CN"/>
              </w:rPr>
              <w:t>2</w:t>
            </w:r>
            <w:r>
              <w:rPr>
                <w:rFonts w:hint="eastAsia" w:ascii="仿宋" w:hAnsi="仿宋" w:eastAsia="仿宋"/>
                <w:color w:val="auto"/>
                <w:sz w:val="24"/>
              </w:rPr>
              <w:t>项评审内容进行打分，每项评审内容完全满足</w:t>
            </w:r>
            <w:r>
              <w:rPr>
                <w:rFonts w:hint="eastAsia" w:ascii="仿宋" w:hAnsi="仿宋" w:eastAsia="仿宋"/>
                <w:color w:val="auto"/>
                <w:sz w:val="24"/>
                <w:lang w:val="en-US" w:eastAsia="zh-CN"/>
              </w:rPr>
              <w:t>3</w:t>
            </w:r>
            <w:r>
              <w:rPr>
                <w:rFonts w:hint="eastAsia" w:ascii="仿宋" w:hAnsi="仿宋" w:eastAsia="仿宋"/>
                <w:color w:val="auto"/>
                <w:sz w:val="24"/>
              </w:rPr>
              <w:t>项评审标准的得</w:t>
            </w:r>
            <w:r>
              <w:rPr>
                <w:rFonts w:hint="eastAsia" w:ascii="仿宋" w:hAnsi="仿宋" w:eastAsia="仿宋"/>
                <w:color w:val="auto"/>
                <w:sz w:val="24"/>
                <w:lang w:val="en-US" w:eastAsia="zh-CN"/>
              </w:rPr>
              <w:t>3</w:t>
            </w:r>
            <w:r>
              <w:rPr>
                <w:rFonts w:hint="eastAsia" w:ascii="仿宋" w:hAnsi="仿宋" w:eastAsia="仿宋"/>
                <w:color w:val="auto"/>
                <w:sz w:val="24"/>
              </w:rPr>
              <w:t>分，满足2项的得</w:t>
            </w:r>
            <w:r>
              <w:rPr>
                <w:rFonts w:hint="eastAsia" w:ascii="仿宋" w:hAnsi="仿宋" w:eastAsia="仿宋"/>
                <w:color w:val="auto"/>
                <w:sz w:val="24"/>
                <w:lang w:val="en-US" w:eastAsia="zh-CN"/>
              </w:rPr>
              <w:t>2</w:t>
            </w:r>
            <w:r>
              <w:rPr>
                <w:rFonts w:hint="eastAsia" w:ascii="仿宋" w:hAnsi="仿宋" w:eastAsia="仿宋"/>
                <w:color w:val="auto"/>
                <w:sz w:val="24"/>
              </w:rPr>
              <w:t>分，满足1项的得</w:t>
            </w:r>
            <w:r>
              <w:rPr>
                <w:rFonts w:hint="eastAsia" w:ascii="仿宋" w:hAnsi="仿宋" w:eastAsia="仿宋"/>
                <w:color w:val="auto"/>
                <w:sz w:val="24"/>
                <w:lang w:val="en-US" w:eastAsia="zh-CN"/>
              </w:rPr>
              <w:t>1</w:t>
            </w:r>
            <w:r>
              <w:rPr>
                <w:rFonts w:hint="eastAsia" w:ascii="仿宋" w:hAnsi="仿宋" w:eastAsia="仿宋"/>
                <w:color w:val="auto"/>
                <w:sz w:val="24"/>
              </w:rPr>
              <w:t>分，其他情况不得分。</w:t>
            </w:r>
          </w:p>
        </w:tc>
      </w:tr>
      <w:tr w14:paraId="418A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vMerge w:val="continue"/>
            <w:noWrap w:val="0"/>
            <w:vAlign w:val="center"/>
          </w:tcPr>
          <w:p w14:paraId="357303D1">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color w:val="auto"/>
                <w:spacing w:val="4"/>
                <w:sz w:val="24"/>
              </w:rPr>
            </w:pPr>
          </w:p>
        </w:tc>
        <w:tc>
          <w:tcPr>
            <w:tcW w:w="741" w:type="pct"/>
            <w:tcBorders>
              <w:left w:val="nil"/>
            </w:tcBorders>
            <w:noWrap w:val="0"/>
            <w:vAlign w:val="center"/>
          </w:tcPr>
          <w:p w14:paraId="4FD83AC3">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
                <w:color w:val="auto"/>
                <w:sz w:val="24"/>
              </w:rPr>
            </w:pPr>
            <w:r>
              <w:rPr>
                <w:rFonts w:hint="eastAsia" w:ascii="仿宋" w:hAnsi="仿宋" w:eastAsia="仿宋" w:cs="仿宋"/>
                <w:color w:val="auto"/>
                <w:sz w:val="24"/>
              </w:rPr>
              <w:t>提货券</w:t>
            </w:r>
          </w:p>
          <w:p w14:paraId="744B2CA0">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设计</w:t>
            </w:r>
          </w:p>
        </w:tc>
        <w:tc>
          <w:tcPr>
            <w:tcW w:w="530" w:type="pct"/>
            <w:noWrap w:val="0"/>
            <w:vAlign w:val="center"/>
          </w:tcPr>
          <w:p w14:paraId="4864BAF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2</w:t>
            </w:r>
            <w:r>
              <w:rPr>
                <w:rFonts w:hint="eastAsia" w:ascii="仿宋" w:hAnsi="仿宋" w:eastAsia="仿宋" w:cs="仿宋"/>
                <w:color w:val="auto"/>
                <w:kern w:val="0"/>
                <w:sz w:val="24"/>
              </w:rPr>
              <w:t>分</w:t>
            </w:r>
          </w:p>
        </w:tc>
        <w:tc>
          <w:tcPr>
            <w:tcW w:w="2963" w:type="pct"/>
            <w:noWrap w:val="0"/>
            <w:vAlign w:val="center"/>
          </w:tcPr>
          <w:p w14:paraId="1D986795">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s="仿宋"/>
                <w:color w:val="auto"/>
                <w:sz w:val="24"/>
              </w:rPr>
            </w:pPr>
            <w:r>
              <w:rPr>
                <w:rFonts w:hint="eastAsia" w:ascii="仿宋" w:hAnsi="仿宋" w:eastAsia="仿宋" w:cs="仿宋"/>
                <w:color w:val="auto"/>
                <w:sz w:val="24"/>
              </w:rPr>
              <w:t>根据</w:t>
            </w:r>
            <w:r>
              <w:rPr>
                <w:rFonts w:hint="eastAsia" w:ascii="仿宋" w:hAnsi="仿宋" w:eastAsia="仿宋"/>
                <w:color w:val="auto"/>
                <w:sz w:val="24"/>
                <w:lang w:val="en-US" w:eastAsia="zh-CN"/>
              </w:rPr>
              <w:t>投标人</w:t>
            </w:r>
            <w:r>
              <w:rPr>
                <w:rFonts w:hint="eastAsia" w:ascii="仿宋" w:hAnsi="仿宋" w:eastAsia="仿宋" w:cs="仿宋"/>
                <w:color w:val="auto"/>
                <w:sz w:val="24"/>
              </w:rPr>
              <w:t>提供的提货券设计方案进行打分：</w:t>
            </w:r>
          </w:p>
          <w:p w14:paraId="21323B6F">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提货券颜色色彩丰富、图形花样设计新颖具有医院标识得1分。</w:t>
            </w:r>
          </w:p>
          <w:p w14:paraId="53A1D674">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rPr>
              <w:t>提货券设计符合时令节气风格得1分。</w:t>
            </w:r>
          </w:p>
          <w:p w14:paraId="53CE42D3">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r>
              <w:rPr>
                <w:rFonts w:hint="eastAsia" w:ascii="仿宋" w:hAnsi="仿宋" w:eastAsia="仿宋" w:cs="仿宋"/>
                <w:color w:val="auto"/>
                <w:sz w:val="24"/>
              </w:rPr>
              <w:t>未提供提货券设计方案不得分。</w:t>
            </w:r>
          </w:p>
        </w:tc>
      </w:tr>
      <w:tr w14:paraId="3061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5" w:type="pct"/>
            <w:vMerge w:val="continue"/>
            <w:noWrap w:val="0"/>
            <w:vAlign w:val="center"/>
          </w:tcPr>
          <w:p w14:paraId="7BF634D0">
            <w:pPr>
              <w:keepNext w:val="0"/>
              <w:keepLines w:val="0"/>
              <w:pageBreakBefore w:val="0"/>
              <w:kinsoku/>
              <w:wordWrap/>
              <w:overflowPunct/>
              <w:topLinePunct w:val="0"/>
              <w:autoSpaceDE/>
              <w:autoSpaceDN/>
              <w:bidi w:val="0"/>
              <w:adjustRightInd/>
              <w:spacing w:line="400" w:lineRule="exact"/>
              <w:jc w:val="center"/>
              <w:textAlignment w:val="auto"/>
              <w:rPr>
                <w:rFonts w:ascii="仿宋" w:hAnsi="仿宋" w:eastAsia="仿宋" w:cs="仿宋_GB2312"/>
                <w:color w:val="auto"/>
                <w:spacing w:val="4"/>
                <w:sz w:val="24"/>
              </w:rPr>
            </w:pPr>
          </w:p>
        </w:tc>
        <w:tc>
          <w:tcPr>
            <w:tcW w:w="741" w:type="pct"/>
            <w:tcBorders>
              <w:left w:val="nil"/>
            </w:tcBorders>
            <w:noWrap w:val="0"/>
            <w:vAlign w:val="center"/>
          </w:tcPr>
          <w:p w14:paraId="42540EF3">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rPr>
              <w:t>应急预案</w:t>
            </w:r>
          </w:p>
        </w:tc>
        <w:tc>
          <w:tcPr>
            <w:tcW w:w="530" w:type="pct"/>
            <w:noWrap w:val="0"/>
            <w:vAlign w:val="center"/>
          </w:tcPr>
          <w:p w14:paraId="3C9BBD55">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lang w:val="en-US" w:eastAsia="zh-CN"/>
              </w:rPr>
              <w:t>4分</w:t>
            </w:r>
          </w:p>
        </w:tc>
        <w:tc>
          <w:tcPr>
            <w:tcW w:w="2963" w:type="pct"/>
            <w:noWrap w:val="0"/>
            <w:vAlign w:val="center"/>
          </w:tcPr>
          <w:p w14:paraId="2A1519D2">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olor w:val="auto"/>
                <w:sz w:val="24"/>
              </w:rPr>
              <w:t>根据</w:t>
            </w:r>
            <w:r>
              <w:rPr>
                <w:rFonts w:hint="eastAsia" w:ascii="仿宋" w:hAnsi="仿宋" w:eastAsia="仿宋"/>
                <w:color w:val="auto"/>
                <w:sz w:val="24"/>
                <w:lang w:val="en-US" w:eastAsia="zh-CN"/>
              </w:rPr>
              <w:t>投标人</w:t>
            </w:r>
            <w:r>
              <w:rPr>
                <w:rFonts w:hint="eastAsia" w:ascii="仿宋" w:hAnsi="仿宋" w:eastAsia="仿宋"/>
                <w:color w:val="auto"/>
                <w:sz w:val="24"/>
              </w:rPr>
              <w:t>针对本项目提供的</w:t>
            </w:r>
            <w:r>
              <w:rPr>
                <w:rFonts w:hint="eastAsia" w:ascii="仿宋" w:hAnsi="仿宋" w:eastAsia="仿宋" w:cs="仿宋"/>
                <w:color w:val="auto"/>
                <w:kern w:val="0"/>
                <w:sz w:val="24"/>
              </w:rPr>
              <w:t>应急预案</w:t>
            </w:r>
            <w:r>
              <w:rPr>
                <w:rFonts w:hint="eastAsia" w:ascii="仿宋" w:hAnsi="仿宋" w:eastAsia="仿宋"/>
                <w:color w:val="auto"/>
                <w:sz w:val="24"/>
              </w:rPr>
              <w:t>进行</w:t>
            </w:r>
            <w:r>
              <w:rPr>
                <w:rFonts w:hint="eastAsia" w:ascii="仿宋" w:hAnsi="仿宋" w:eastAsia="仿宋"/>
                <w:color w:val="auto"/>
                <w:sz w:val="24"/>
                <w:lang w:val="en-US" w:eastAsia="zh-CN"/>
              </w:rPr>
              <w:t>打分</w:t>
            </w:r>
            <w:r>
              <w:rPr>
                <w:rFonts w:hint="eastAsia" w:ascii="仿宋" w:hAnsi="仿宋" w:eastAsia="仿宋"/>
                <w:color w:val="auto"/>
                <w:sz w:val="24"/>
              </w:rPr>
              <w:t>，包括以下评审内容：</w:t>
            </w:r>
          </w:p>
          <w:p w14:paraId="7676A11A">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s="仿宋_GB2312"/>
                <w:color w:val="auto"/>
                <w:spacing w:val="4"/>
                <w:sz w:val="24"/>
                <w:lang w:val="en-US" w:eastAsia="zh-CN"/>
              </w:rPr>
              <w:t>1.</w:t>
            </w:r>
            <w:r>
              <w:rPr>
                <w:rFonts w:hint="eastAsia" w:ascii="仿宋" w:hAnsi="仿宋" w:eastAsia="仿宋" w:cs="仿宋"/>
                <w:color w:val="auto"/>
                <w:sz w:val="24"/>
              </w:rPr>
              <w:t>应急预案的建立，紧急情况服务对应方案</w:t>
            </w:r>
            <w:r>
              <w:rPr>
                <w:rFonts w:hint="eastAsia" w:ascii="仿宋" w:hAnsi="仿宋" w:eastAsia="仿宋"/>
                <w:color w:val="auto"/>
                <w:sz w:val="24"/>
              </w:rPr>
              <w:t>（</w:t>
            </w:r>
            <w:r>
              <w:rPr>
                <w:rFonts w:hint="eastAsia" w:ascii="仿宋" w:hAnsi="仿宋" w:eastAsia="仿宋"/>
                <w:color w:val="auto"/>
                <w:sz w:val="24"/>
                <w:lang w:val="en-US" w:eastAsia="zh-CN"/>
              </w:rPr>
              <w:t>2</w:t>
            </w:r>
            <w:r>
              <w:rPr>
                <w:rFonts w:hint="eastAsia" w:ascii="仿宋" w:hAnsi="仿宋" w:eastAsia="仿宋"/>
                <w:color w:val="auto"/>
                <w:sz w:val="24"/>
              </w:rPr>
              <w:t>分）</w:t>
            </w:r>
          </w:p>
          <w:p w14:paraId="40B8B272">
            <w:pPr>
              <w:keepNext w:val="0"/>
              <w:keepLines w:val="0"/>
              <w:pageBreakBefore w:val="0"/>
              <w:kinsoku/>
              <w:wordWrap/>
              <w:overflowPunct/>
              <w:topLinePunct w:val="0"/>
              <w:autoSpaceDE/>
              <w:autoSpaceDN/>
              <w:bidi w:val="0"/>
              <w:adjustRightInd/>
              <w:spacing w:line="400" w:lineRule="exact"/>
              <w:textAlignment w:val="auto"/>
              <w:rPr>
                <w:rFonts w:ascii="仿宋" w:hAnsi="仿宋" w:eastAsia="仿宋"/>
                <w:color w:val="auto"/>
                <w:sz w:val="24"/>
              </w:rPr>
            </w:pPr>
            <w:r>
              <w:rPr>
                <w:rFonts w:hint="eastAsia" w:ascii="仿宋" w:hAnsi="仿宋" w:eastAsia="仿宋" w:cs="仿宋_GB2312"/>
                <w:color w:val="auto"/>
                <w:spacing w:val="4"/>
                <w:sz w:val="24"/>
                <w:lang w:val="en-US" w:eastAsia="zh-CN"/>
              </w:rPr>
              <w:t>2.</w:t>
            </w:r>
            <w:r>
              <w:rPr>
                <w:rFonts w:hint="eastAsia" w:ascii="仿宋" w:hAnsi="仿宋" w:eastAsia="仿宋" w:cs="仿宋"/>
                <w:color w:val="auto"/>
                <w:sz w:val="24"/>
              </w:rPr>
              <w:t>应急响应能力</w:t>
            </w:r>
            <w:r>
              <w:rPr>
                <w:rFonts w:hint="eastAsia" w:ascii="仿宋" w:hAnsi="仿宋" w:eastAsia="仿宋"/>
                <w:color w:val="auto"/>
                <w:sz w:val="24"/>
              </w:rPr>
              <w:t>（</w:t>
            </w:r>
            <w:r>
              <w:rPr>
                <w:rFonts w:hint="eastAsia" w:ascii="仿宋" w:hAnsi="仿宋" w:eastAsia="仿宋"/>
                <w:color w:val="auto"/>
                <w:sz w:val="24"/>
                <w:lang w:val="en-US" w:eastAsia="zh-CN"/>
              </w:rPr>
              <w:t>2</w:t>
            </w:r>
            <w:r>
              <w:rPr>
                <w:rFonts w:hint="eastAsia" w:ascii="仿宋" w:hAnsi="仿宋" w:eastAsia="仿宋"/>
                <w:color w:val="auto"/>
                <w:sz w:val="24"/>
              </w:rPr>
              <w:t>分）</w:t>
            </w:r>
          </w:p>
          <w:p w14:paraId="291C6C71">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b w:val="0"/>
                <w:bCs w:val="0"/>
                <w:color w:val="auto"/>
                <w:sz w:val="24"/>
              </w:rPr>
            </w:pPr>
            <w:r>
              <w:rPr>
                <w:rFonts w:hint="eastAsia" w:ascii="仿宋" w:hAnsi="仿宋" w:eastAsia="仿宋"/>
                <w:b w:val="0"/>
                <w:bCs w:val="0"/>
                <w:color w:val="auto"/>
                <w:sz w:val="24"/>
              </w:rPr>
              <w:t>评审标准：</w:t>
            </w:r>
          </w:p>
          <w:p w14:paraId="7FC76495">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完整性：方案完整，切合本项目实际情况。</w:t>
            </w:r>
          </w:p>
          <w:p w14:paraId="064540C0">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合理性：符合项目具体情况，提出的</w:t>
            </w:r>
            <w:r>
              <w:rPr>
                <w:rFonts w:hint="eastAsia" w:ascii="仿宋" w:hAnsi="仿宋" w:eastAsia="仿宋" w:cs="仿宋"/>
                <w:color w:val="auto"/>
                <w:kern w:val="0"/>
                <w:sz w:val="24"/>
              </w:rPr>
              <w:t>预案</w:t>
            </w:r>
            <w:r>
              <w:rPr>
                <w:rFonts w:hint="eastAsia" w:ascii="仿宋" w:hAnsi="仿宋" w:eastAsia="仿宋"/>
                <w:color w:val="auto"/>
                <w:sz w:val="24"/>
              </w:rPr>
              <w:t>合理、恰当。</w:t>
            </w:r>
          </w:p>
          <w:p w14:paraId="65ED7165">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olor w:val="auto"/>
                <w:sz w:val="24"/>
              </w:rPr>
            </w:pPr>
            <w:r>
              <w:rPr>
                <w:rFonts w:hint="eastAsia" w:ascii="仿宋" w:hAnsi="仿宋" w:eastAsia="仿宋"/>
                <w:color w:val="auto"/>
                <w:sz w:val="24"/>
              </w:rPr>
              <w:t>简洁性：在不复杂、可理解的方式下，方案条理清晰，便于理解易读。</w:t>
            </w:r>
          </w:p>
          <w:p w14:paraId="24C44F3B">
            <w:pPr>
              <w:keepNext w:val="0"/>
              <w:keepLines w:val="0"/>
              <w:pageBreakBefore w:val="0"/>
              <w:kinsoku/>
              <w:wordWrap/>
              <w:overflowPunct/>
              <w:topLinePunct w:val="0"/>
              <w:autoSpaceDE/>
              <w:autoSpaceDN/>
              <w:bidi w:val="0"/>
              <w:adjustRightInd/>
              <w:spacing w:line="400" w:lineRule="exact"/>
              <w:textAlignment w:val="auto"/>
              <w:rPr>
                <w:rFonts w:hint="eastAsia" w:ascii="仿宋" w:hAnsi="仿宋" w:eastAsia="仿宋" w:cs="仿宋"/>
                <w:color w:val="auto"/>
                <w:sz w:val="24"/>
                <w:highlight w:val="none"/>
              </w:rPr>
            </w:pPr>
            <w:r>
              <w:rPr>
                <w:rFonts w:hint="eastAsia" w:ascii="仿宋" w:hAnsi="仿宋" w:eastAsia="仿宋"/>
                <w:color w:val="auto"/>
                <w:sz w:val="24"/>
              </w:rPr>
              <w:t>对上述</w:t>
            </w:r>
            <w:r>
              <w:rPr>
                <w:rFonts w:hint="eastAsia" w:ascii="仿宋" w:hAnsi="仿宋" w:eastAsia="仿宋"/>
                <w:color w:val="auto"/>
                <w:sz w:val="24"/>
                <w:lang w:val="en-US" w:eastAsia="zh-CN"/>
              </w:rPr>
              <w:t>2</w:t>
            </w:r>
            <w:r>
              <w:rPr>
                <w:rFonts w:hint="eastAsia" w:ascii="仿宋" w:hAnsi="仿宋" w:eastAsia="仿宋"/>
                <w:color w:val="auto"/>
                <w:sz w:val="24"/>
              </w:rPr>
              <w:t>项评审内容进行打分，每项评审内容完全满足</w:t>
            </w:r>
            <w:r>
              <w:rPr>
                <w:rFonts w:hint="eastAsia" w:ascii="仿宋" w:hAnsi="仿宋" w:eastAsia="仿宋"/>
                <w:color w:val="auto"/>
                <w:sz w:val="24"/>
                <w:lang w:val="en-US" w:eastAsia="zh-CN"/>
              </w:rPr>
              <w:t>3</w:t>
            </w:r>
            <w:r>
              <w:rPr>
                <w:rFonts w:hint="eastAsia" w:ascii="仿宋" w:hAnsi="仿宋" w:eastAsia="仿宋"/>
                <w:color w:val="auto"/>
                <w:sz w:val="24"/>
              </w:rPr>
              <w:t>项评审标准的得</w:t>
            </w:r>
            <w:r>
              <w:rPr>
                <w:rFonts w:hint="eastAsia" w:ascii="仿宋" w:hAnsi="仿宋" w:eastAsia="仿宋"/>
                <w:color w:val="auto"/>
                <w:sz w:val="24"/>
                <w:lang w:val="en-US" w:eastAsia="zh-CN"/>
              </w:rPr>
              <w:t>2</w:t>
            </w:r>
            <w:r>
              <w:rPr>
                <w:rFonts w:hint="eastAsia" w:ascii="仿宋" w:hAnsi="仿宋" w:eastAsia="仿宋"/>
                <w:color w:val="auto"/>
                <w:sz w:val="24"/>
              </w:rPr>
              <w:t>分，满足2项的得</w:t>
            </w:r>
            <w:r>
              <w:rPr>
                <w:rFonts w:hint="eastAsia" w:ascii="仿宋" w:hAnsi="仿宋" w:eastAsia="仿宋"/>
                <w:color w:val="auto"/>
                <w:sz w:val="24"/>
                <w:lang w:val="en-US" w:eastAsia="zh-CN"/>
              </w:rPr>
              <w:t>1</w:t>
            </w:r>
            <w:r>
              <w:rPr>
                <w:rFonts w:hint="eastAsia" w:ascii="仿宋" w:hAnsi="仿宋" w:eastAsia="仿宋"/>
                <w:color w:val="auto"/>
                <w:sz w:val="24"/>
              </w:rPr>
              <w:t>分，满足1项的得</w:t>
            </w:r>
            <w:r>
              <w:rPr>
                <w:rFonts w:hint="eastAsia" w:ascii="仿宋" w:hAnsi="仿宋" w:eastAsia="仿宋"/>
                <w:color w:val="auto"/>
                <w:sz w:val="24"/>
                <w:lang w:val="en-US" w:eastAsia="zh-CN"/>
              </w:rPr>
              <w:t>0.5</w:t>
            </w:r>
            <w:r>
              <w:rPr>
                <w:rFonts w:hint="eastAsia" w:ascii="仿宋" w:hAnsi="仿宋" w:eastAsia="仿宋"/>
                <w:color w:val="auto"/>
                <w:sz w:val="24"/>
              </w:rPr>
              <w:t>分，其他情况不得分。</w:t>
            </w:r>
          </w:p>
        </w:tc>
      </w:tr>
    </w:tbl>
    <w:p w14:paraId="0E12603E">
      <w:pPr>
        <w:pStyle w:val="314"/>
        <w:pageBreakBefore w:val="0"/>
        <w:widowControl w:val="0"/>
        <w:kinsoku/>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br w:type="page"/>
      </w:r>
    </w:p>
    <w:p w14:paraId="6777ACB2">
      <w:pPr>
        <w:pStyle w:val="2"/>
        <w:numPr>
          <w:ilvl w:val="0"/>
          <w:numId w:val="4"/>
        </w:numPr>
        <w:spacing w:before="120" w:beforeLines="50" w:after="120" w:afterLines="50" w:line="300" w:lineRule="auto"/>
        <w:rPr>
          <w:rFonts w:hint="eastAsia" w:ascii="黑体" w:hAnsi="黑体" w:eastAsia="黑体" w:cs="黑体"/>
          <w:color w:val="000000"/>
          <w:sz w:val="32"/>
          <w:szCs w:val="32"/>
          <w:highlight w:val="none"/>
        </w:rPr>
      </w:pPr>
      <w:bookmarkStart w:id="290" w:name="_Toc249080560"/>
      <w:bookmarkStart w:id="291" w:name="_Toc3034"/>
      <w:bookmarkStart w:id="292" w:name="_Toc24813"/>
      <w:bookmarkStart w:id="293" w:name="_Toc249173071"/>
      <w:r>
        <w:rPr>
          <w:rFonts w:hint="eastAsia" w:ascii="黑体" w:hAnsi="黑体" w:eastAsia="黑体" w:cs="黑体"/>
          <w:color w:val="000000"/>
          <w:sz w:val="32"/>
          <w:szCs w:val="32"/>
          <w:highlight w:val="none"/>
        </w:rPr>
        <w:t>合同</w:t>
      </w:r>
      <w:r>
        <w:rPr>
          <w:rFonts w:hint="eastAsia" w:ascii="黑体" w:hAnsi="黑体" w:eastAsia="黑体" w:cs="黑体"/>
          <w:sz w:val="32"/>
          <w:szCs w:val="32"/>
          <w:highlight w:val="none"/>
        </w:rPr>
        <w:t>主要条款</w:t>
      </w:r>
      <w:bookmarkEnd w:id="290"/>
      <w:bookmarkEnd w:id="291"/>
      <w:bookmarkEnd w:id="292"/>
      <w:bookmarkEnd w:id="293"/>
    </w:p>
    <w:p w14:paraId="43E88747">
      <w:pPr>
        <w:spacing w:line="360" w:lineRule="auto"/>
        <w:rPr>
          <w:rFonts w:hint="eastAsia" w:ascii="仿宋" w:hAnsi="仿宋" w:eastAsia="仿宋" w:cs="仿宋"/>
          <w:color w:val="auto"/>
          <w:sz w:val="24"/>
        </w:rPr>
      </w:pPr>
      <w:r>
        <w:rPr>
          <w:rFonts w:hint="eastAsia" w:ascii="仿宋" w:hAnsi="仿宋" w:eastAsia="仿宋" w:cs="仿宋"/>
          <w:color w:val="auto"/>
          <w:sz w:val="24"/>
        </w:rPr>
        <w:t>（此合同书仅作为签订正式合同时的参考，正式合同书应包括本参考格式的内容）</w:t>
      </w:r>
    </w:p>
    <w:p w14:paraId="7E3BB61D">
      <w:pPr>
        <w:keepNext w:val="0"/>
        <w:keepLines w:val="0"/>
        <w:pageBreakBefore w:val="0"/>
        <w:widowControl w:val="0"/>
        <w:kinsoku/>
        <w:wordWrap w:val="0"/>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 xml:space="preserve">本合同由甲乙双方根据《中华人民共和国政府采购法》《中华人民共和国政府采购法实施条例》《中华人民共和国民法典》等相关法律法规规定，按平等、自愿、诚实信用的原则拟定，甲、乙双方均应遵守法律规定和合同约定，并各自履行应负的全部责任和义务。 </w:t>
      </w:r>
    </w:p>
    <w:p w14:paraId="05EAC138">
      <w:pPr>
        <w:pStyle w:val="308"/>
        <w:keepNext w:val="0"/>
        <w:keepLines w:val="0"/>
        <w:pageBreakBefore w:val="0"/>
        <w:widowControl w:val="0"/>
        <w:numPr>
          <w:ilvl w:val="0"/>
          <w:numId w:val="12"/>
        </w:numPr>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项目基本情况</w:t>
      </w:r>
    </w:p>
    <w:p w14:paraId="2B2CFFD2">
      <w:pPr>
        <w:keepNext w:val="0"/>
        <w:keepLines w:val="0"/>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 xml:space="preserve">1.项目名称：         </w:t>
      </w:r>
      <w:r>
        <w:rPr>
          <w:rFonts w:hint="eastAsia" w:ascii="仿宋" w:hAnsi="仿宋" w:eastAsia="仿宋" w:cs="仿宋"/>
          <w:bCs/>
          <w:i w:val="0"/>
          <w:iCs w:val="0"/>
          <w:color w:val="auto"/>
          <w:sz w:val="24"/>
          <w:szCs w:val="24"/>
        </w:rPr>
        <w:t>(见招标文件)</w:t>
      </w:r>
      <w:r>
        <w:rPr>
          <w:rFonts w:hint="eastAsia" w:ascii="仿宋" w:hAnsi="仿宋" w:eastAsia="仿宋" w:cs="仿宋"/>
          <w:i w:val="0"/>
          <w:iCs w:val="0"/>
          <w:color w:val="auto"/>
          <w:sz w:val="24"/>
          <w:szCs w:val="24"/>
        </w:rPr>
        <w:t xml:space="preserve">               </w:t>
      </w:r>
    </w:p>
    <w:p w14:paraId="67EF1C0F">
      <w:pPr>
        <w:keepNext w:val="0"/>
        <w:keepLines w:val="0"/>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 xml:space="preserve">2.项目编号：          </w:t>
      </w:r>
      <w:r>
        <w:rPr>
          <w:rFonts w:hint="eastAsia" w:ascii="仿宋" w:hAnsi="仿宋" w:eastAsia="仿宋" w:cs="仿宋"/>
          <w:bCs/>
          <w:i w:val="0"/>
          <w:iCs w:val="0"/>
          <w:color w:val="auto"/>
          <w:sz w:val="24"/>
          <w:szCs w:val="24"/>
        </w:rPr>
        <w:t>(见招标文件)</w:t>
      </w:r>
      <w:r>
        <w:rPr>
          <w:rFonts w:hint="eastAsia" w:ascii="仿宋" w:hAnsi="仿宋" w:eastAsia="仿宋" w:cs="仿宋"/>
          <w:i w:val="0"/>
          <w:iCs w:val="0"/>
          <w:color w:val="auto"/>
          <w:sz w:val="24"/>
          <w:szCs w:val="24"/>
        </w:rPr>
        <w:t xml:space="preserve">             </w:t>
      </w:r>
    </w:p>
    <w:p w14:paraId="2622C69C">
      <w:pPr>
        <w:keepNext w:val="0"/>
        <w:keepLines w:val="0"/>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 xml:space="preserve">3.政府采购计划备案号：  </w:t>
      </w:r>
      <w:r>
        <w:rPr>
          <w:rFonts w:hint="eastAsia" w:ascii="仿宋" w:hAnsi="仿宋" w:eastAsia="仿宋" w:cs="仿宋"/>
          <w:bCs/>
          <w:i w:val="0"/>
          <w:iCs w:val="0"/>
          <w:color w:val="auto"/>
          <w:sz w:val="24"/>
          <w:szCs w:val="24"/>
        </w:rPr>
        <w:t>(见招标文件)</w:t>
      </w:r>
      <w:r>
        <w:rPr>
          <w:rFonts w:hint="eastAsia" w:ascii="仿宋" w:hAnsi="仿宋" w:eastAsia="仿宋" w:cs="仿宋"/>
          <w:i w:val="0"/>
          <w:iCs w:val="0"/>
          <w:color w:val="auto"/>
          <w:sz w:val="24"/>
          <w:szCs w:val="24"/>
        </w:rPr>
        <w:t xml:space="preserve">            </w:t>
      </w:r>
    </w:p>
    <w:p w14:paraId="4F89C74D">
      <w:pPr>
        <w:keepNext w:val="0"/>
        <w:keepLines w:val="0"/>
        <w:pageBreakBefore w:val="0"/>
        <w:widowControl w:val="0"/>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rPr>
        <w:t>4.项目概况：</w:t>
      </w:r>
      <w:r>
        <w:rPr>
          <w:rFonts w:hint="eastAsia" w:ascii="仿宋" w:hAnsi="仿宋" w:eastAsia="仿宋" w:cs="仿宋"/>
          <w:i w:val="0"/>
          <w:iCs w:val="0"/>
          <w:color w:val="auto"/>
          <w:sz w:val="24"/>
          <w:szCs w:val="24"/>
          <w:lang w:val="zh-CN"/>
        </w:rPr>
        <w:t xml:space="preserve">              </w:t>
      </w:r>
      <w:r>
        <w:rPr>
          <w:rFonts w:hint="eastAsia" w:ascii="仿宋" w:hAnsi="仿宋" w:eastAsia="仿宋" w:cs="仿宋"/>
          <w:bCs/>
          <w:i w:val="0"/>
          <w:iCs w:val="0"/>
          <w:color w:val="auto"/>
          <w:sz w:val="24"/>
          <w:szCs w:val="24"/>
        </w:rPr>
        <w:t>(见招标文件)</w:t>
      </w:r>
      <w:r>
        <w:rPr>
          <w:rFonts w:hint="eastAsia" w:ascii="仿宋" w:hAnsi="仿宋" w:eastAsia="仿宋" w:cs="仿宋"/>
          <w:i w:val="0"/>
          <w:iCs w:val="0"/>
          <w:color w:val="auto"/>
          <w:sz w:val="24"/>
          <w:szCs w:val="24"/>
          <w:lang w:val="zh-CN"/>
        </w:rPr>
        <w:t xml:space="preserve">            </w:t>
      </w:r>
    </w:p>
    <w:p w14:paraId="5502E609">
      <w:pPr>
        <w:pStyle w:val="308"/>
        <w:keepNext w:val="0"/>
        <w:keepLines w:val="0"/>
        <w:pageBreakBefore w:val="0"/>
        <w:widowControl w:val="0"/>
        <w:numPr>
          <w:ilvl w:val="0"/>
          <w:numId w:val="12"/>
        </w:numPr>
        <w:kinsoku/>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 xml:space="preserve">标的名称、数量（规模） </w:t>
      </w:r>
    </w:p>
    <w:tbl>
      <w:tblPr>
        <w:tblStyle w:val="49"/>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56"/>
        <w:gridCol w:w="2060"/>
        <w:gridCol w:w="1307"/>
        <w:gridCol w:w="618"/>
        <w:gridCol w:w="589"/>
        <w:gridCol w:w="939"/>
        <w:gridCol w:w="1363"/>
        <w:gridCol w:w="1085"/>
      </w:tblGrid>
      <w:tr w14:paraId="099479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334" w:type="pct"/>
            <w:shd w:val="pct10" w:color="AEAAAA" w:themeColor="background2" w:themeShade="BF" w:fill="D0CECE" w:themeFill="background2" w:themeFillShade="E6"/>
            <w:vAlign w:val="center"/>
          </w:tcPr>
          <w:p w14:paraId="6B8E518C">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b/>
                <w:i w:val="0"/>
                <w:iCs w:val="0"/>
                <w:color w:val="auto"/>
                <w:sz w:val="24"/>
                <w:szCs w:val="24"/>
              </w:rPr>
            </w:pPr>
            <w:r>
              <w:rPr>
                <w:rFonts w:hint="eastAsia" w:ascii="仿宋" w:hAnsi="仿宋" w:eastAsia="仿宋" w:cs="仿宋"/>
                <w:b/>
                <w:i w:val="0"/>
                <w:iCs w:val="0"/>
                <w:color w:val="auto"/>
                <w:sz w:val="24"/>
                <w:szCs w:val="24"/>
              </w:rPr>
              <w:t>序号</w:t>
            </w:r>
          </w:p>
        </w:tc>
        <w:tc>
          <w:tcPr>
            <w:tcW w:w="1216" w:type="pct"/>
            <w:shd w:val="pct10" w:color="AEAAAA" w:themeColor="background2" w:themeShade="BF" w:fill="D0CECE" w:themeFill="background2" w:themeFillShade="E6"/>
            <w:vAlign w:val="center"/>
          </w:tcPr>
          <w:p w14:paraId="1F8A7A70">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b/>
                <w:i w:val="0"/>
                <w:iCs w:val="0"/>
                <w:color w:val="auto"/>
                <w:sz w:val="24"/>
                <w:szCs w:val="24"/>
              </w:rPr>
            </w:pPr>
            <w:r>
              <w:rPr>
                <w:rFonts w:hint="eastAsia" w:ascii="仿宋" w:hAnsi="仿宋" w:eastAsia="仿宋" w:cs="仿宋"/>
                <w:b/>
                <w:i w:val="0"/>
                <w:iCs w:val="0"/>
                <w:color w:val="auto"/>
                <w:sz w:val="24"/>
                <w:szCs w:val="24"/>
              </w:rPr>
              <w:t>名称</w:t>
            </w:r>
          </w:p>
        </w:tc>
        <w:tc>
          <w:tcPr>
            <w:tcW w:w="774" w:type="pct"/>
            <w:shd w:val="pct10" w:color="AEAAAA" w:themeColor="background2" w:themeShade="BF" w:fill="D0CECE" w:themeFill="background2" w:themeFillShade="E6"/>
            <w:vAlign w:val="center"/>
          </w:tcPr>
          <w:p w14:paraId="74A89732">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b/>
                <w:i w:val="0"/>
                <w:iCs w:val="0"/>
                <w:color w:val="auto"/>
                <w:sz w:val="24"/>
                <w:szCs w:val="24"/>
                <w:lang w:eastAsia="zh-CN"/>
              </w:rPr>
            </w:pPr>
            <w:r>
              <w:rPr>
                <w:rFonts w:hint="eastAsia" w:ascii="仿宋" w:hAnsi="仿宋" w:eastAsia="仿宋" w:cs="仿宋"/>
                <w:b/>
                <w:i w:val="0"/>
                <w:iCs w:val="0"/>
                <w:color w:val="auto"/>
                <w:sz w:val="24"/>
                <w:szCs w:val="24"/>
              </w:rPr>
              <w:t>品牌规格型号</w:t>
            </w:r>
            <w:r>
              <w:rPr>
                <w:rFonts w:hint="eastAsia" w:ascii="仿宋" w:hAnsi="仿宋" w:eastAsia="仿宋" w:cs="仿宋"/>
                <w:b/>
                <w:i w:val="0"/>
                <w:iCs w:val="0"/>
                <w:color w:val="auto"/>
                <w:sz w:val="24"/>
                <w:szCs w:val="24"/>
                <w:lang w:eastAsia="zh-CN"/>
              </w:rPr>
              <w:t>（</w:t>
            </w:r>
            <w:r>
              <w:rPr>
                <w:rFonts w:hint="eastAsia" w:ascii="仿宋" w:hAnsi="仿宋" w:eastAsia="仿宋" w:cs="仿宋"/>
                <w:b/>
                <w:i w:val="0"/>
                <w:iCs w:val="0"/>
                <w:color w:val="auto"/>
                <w:sz w:val="24"/>
                <w:szCs w:val="24"/>
                <w:lang w:val="en-US" w:eastAsia="zh-CN"/>
              </w:rPr>
              <w:t>如有</w:t>
            </w:r>
            <w:r>
              <w:rPr>
                <w:rFonts w:hint="eastAsia" w:ascii="仿宋" w:hAnsi="仿宋" w:eastAsia="仿宋" w:cs="仿宋"/>
                <w:b/>
                <w:i w:val="0"/>
                <w:iCs w:val="0"/>
                <w:color w:val="auto"/>
                <w:sz w:val="24"/>
                <w:szCs w:val="24"/>
                <w:lang w:eastAsia="zh-CN"/>
              </w:rPr>
              <w:t>）</w:t>
            </w:r>
          </w:p>
        </w:tc>
        <w:tc>
          <w:tcPr>
            <w:tcW w:w="370" w:type="pct"/>
            <w:tcBorders>
              <w:right w:val="single" w:color="auto" w:sz="4" w:space="0"/>
            </w:tcBorders>
            <w:shd w:val="pct10" w:color="AEAAAA" w:themeColor="background2" w:themeShade="BF" w:fill="D0CECE" w:themeFill="background2" w:themeFillShade="E6"/>
            <w:vAlign w:val="center"/>
          </w:tcPr>
          <w:p w14:paraId="4B62D3C0">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b/>
                <w:i w:val="0"/>
                <w:iCs w:val="0"/>
                <w:color w:val="auto"/>
                <w:sz w:val="24"/>
                <w:szCs w:val="24"/>
              </w:rPr>
            </w:pPr>
            <w:r>
              <w:rPr>
                <w:rFonts w:hint="eastAsia" w:ascii="仿宋" w:hAnsi="仿宋" w:eastAsia="仿宋" w:cs="仿宋"/>
                <w:b/>
                <w:i w:val="0"/>
                <w:iCs w:val="0"/>
                <w:color w:val="auto"/>
                <w:sz w:val="24"/>
                <w:szCs w:val="24"/>
              </w:rPr>
              <w:t>数量</w:t>
            </w:r>
          </w:p>
        </w:tc>
        <w:tc>
          <w:tcPr>
            <w:tcW w:w="353" w:type="pct"/>
            <w:tcBorders>
              <w:left w:val="single" w:color="auto" w:sz="4" w:space="0"/>
            </w:tcBorders>
            <w:shd w:val="pct10" w:color="AEAAAA" w:themeColor="background2" w:themeShade="BF" w:fill="D0CECE" w:themeFill="background2" w:themeFillShade="E6"/>
            <w:vAlign w:val="center"/>
          </w:tcPr>
          <w:p w14:paraId="6C04B5F4">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b/>
                <w:i w:val="0"/>
                <w:iCs w:val="0"/>
                <w:color w:val="auto"/>
                <w:sz w:val="24"/>
                <w:szCs w:val="24"/>
              </w:rPr>
            </w:pPr>
            <w:r>
              <w:rPr>
                <w:rFonts w:hint="eastAsia" w:ascii="仿宋" w:hAnsi="仿宋" w:eastAsia="仿宋" w:cs="仿宋"/>
                <w:b/>
                <w:i w:val="0"/>
                <w:iCs w:val="0"/>
                <w:color w:val="auto"/>
                <w:sz w:val="24"/>
                <w:szCs w:val="24"/>
              </w:rPr>
              <w:t>单位</w:t>
            </w:r>
          </w:p>
        </w:tc>
        <w:tc>
          <w:tcPr>
            <w:tcW w:w="498" w:type="pct"/>
            <w:shd w:val="pct10" w:color="AEAAAA" w:themeColor="background2" w:themeShade="BF" w:fill="D0CECE" w:themeFill="background2" w:themeFillShade="E6"/>
            <w:vAlign w:val="center"/>
          </w:tcPr>
          <w:p w14:paraId="2EAD4EA5">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b/>
                <w:i w:val="0"/>
                <w:iCs w:val="0"/>
                <w:color w:val="auto"/>
                <w:sz w:val="24"/>
                <w:szCs w:val="24"/>
              </w:rPr>
            </w:pPr>
            <w:r>
              <w:rPr>
                <w:rFonts w:hint="eastAsia" w:ascii="仿宋" w:hAnsi="仿宋" w:eastAsia="仿宋" w:cs="仿宋"/>
                <w:b/>
                <w:i w:val="0"/>
                <w:iCs w:val="0"/>
                <w:color w:val="auto"/>
                <w:sz w:val="24"/>
                <w:szCs w:val="24"/>
              </w:rPr>
              <w:t>单价（元）</w:t>
            </w:r>
          </w:p>
        </w:tc>
        <w:tc>
          <w:tcPr>
            <w:tcW w:w="807" w:type="pct"/>
            <w:shd w:val="pct10" w:color="AEAAAA" w:themeColor="background2" w:themeShade="BF" w:fill="D0CECE" w:themeFill="background2" w:themeFillShade="E6"/>
            <w:vAlign w:val="center"/>
          </w:tcPr>
          <w:p w14:paraId="5ECA60C9">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b/>
                <w:i w:val="0"/>
                <w:iCs w:val="0"/>
                <w:color w:val="auto"/>
                <w:sz w:val="24"/>
                <w:szCs w:val="24"/>
              </w:rPr>
            </w:pPr>
            <w:r>
              <w:rPr>
                <w:rFonts w:hint="eastAsia" w:ascii="仿宋" w:hAnsi="仿宋" w:eastAsia="仿宋" w:cs="仿宋"/>
                <w:b/>
                <w:i w:val="0"/>
                <w:iCs w:val="0"/>
                <w:color w:val="auto"/>
                <w:sz w:val="24"/>
                <w:szCs w:val="24"/>
              </w:rPr>
              <w:t>分项合计（元）</w:t>
            </w:r>
          </w:p>
        </w:tc>
        <w:tc>
          <w:tcPr>
            <w:tcW w:w="643" w:type="pct"/>
            <w:shd w:val="pct10" w:color="AEAAAA" w:themeColor="background2" w:themeShade="BF" w:fill="D0CECE" w:themeFill="background2" w:themeFillShade="E6"/>
            <w:vAlign w:val="center"/>
          </w:tcPr>
          <w:p w14:paraId="67A06632">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b/>
                <w:i w:val="0"/>
                <w:iCs w:val="0"/>
                <w:color w:val="auto"/>
                <w:sz w:val="24"/>
                <w:szCs w:val="24"/>
              </w:rPr>
            </w:pPr>
            <w:r>
              <w:rPr>
                <w:rFonts w:hint="eastAsia" w:ascii="仿宋" w:hAnsi="仿宋" w:eastAsia="仿宋" w:cs="仿宋"/>
                <w:b/>
                <w:i w:val="0"/>
                <w:iCs w:val="0"/>
                <w:color w:val="auto"/>
                <w:sz w:val="24"/>
                <w:szCs w:val="24"/>
              </w:rPr>
              <w:t>制造厂家（全称）</w:t>
            </w:r>
          </w:p>
        </w:tc>
      </w:tr>
      <w:tr w14:paraId="7C85BE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334" w:type="pct"/>
            <w:shd w:val="clear" w:color="auto" w:fill="auto"/>
            <w:vAlign w:val="center"/>
          </w:tcPr>
          <w:p w14:paraId="5592C1B2">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b/>
                <w:i w:val="0"/>
                <w:iCs w:val="0"/>
                <w:color w:val="auto"/>
                <w:sz w:val="24"/>
                <w:szCs w:val="24"/>
              </w:rPr>
            </w:pPr>
            <w:r>
              <w:rPr>
                <w:rFonts w:hint="eastAsia" w:ascii="仿宋" w:hAnsi="仿宋" w:eastAsia="仿宋" w:cs="仿宋"/>
                <w:b/>
                <w:i w:val="0"/>
                <w:iCs w:val="0"/>
                <w:color w:val="auto"/>
                <w:sz w:val="24"/>
                <w:szCs w:val="24"/>
              </w:rPr>
              <w:t>1</w:t>
            </w:r>
          </w:p>
        </w:tc>
        <w:tc>
          <w:tcPr>
            <w:tcW w:w="1216" w:type="pct"/>
            <w:shd w:val="clear" w:color="auto" w:fill="auto"/>
            <w:vAlign w:val="center"/>
          </w:tcPr>
          <w:p w14:paraId="3FC69DD0">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货物（服务）名称1</w:t>
            </w:r>
          </w:p>
        </w:tc>
        <w:tc>
          <w:tcPr>
            <w:tcW w:w="774" w:type="pct"/>
            <w:shd w:val="clear" w:color="auto" w:fill="auto"/>
            <w:vAlign w:val="center"/>
          </w:tcPr>
          <w:p w14:paraId="29352689">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textAlignment w:val="auto"/>
              <w:rPr>
                <w:rFonts w:hint="eastAsia" w:ascii="仿宋" w:hAnsi="仿宋" w:eastAsia="仿宋" w:cs="仿宋"/>
                <w:i w:val="0"/>
                <w:iCs w:val="0"/>
                <w:color w:val="auto"/>
                <w:sz w:val="24"/>
                <w:szCs w:val="24"/>
              </w:rPr>
            </w:pPr>
          </w:p>
        </w:tc>
        <w:tc>
          <w:tcPr>
            <w:tcW w:w="370" w:type="pct"/>
            <w:tcBorders>
              <w:right w:val="single" w:color="auto" w:sz="4" w:space="0"/>
            </w:tcBorders>
            <w:shd w:val="clear" w:color="auto" w:fill="auto"/>
            <w:vAlign w:val="center"/>
          </w:tcPr>
          <w:p w14:paraId="6BD9DD7A">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p>
        </w:tc>
        <w:tc>
          <w:tcPr>
            <w:tcW w:w="353" w:type="pct"/>
            <w:tcBorders>
              <w:left w:val="single" w:color="auto" w:sz="4" w:space="0"/>
            </w:tcBorders>
            <w:shd w:val="clear" w:color="auto" w:fill="auto"/>
            <w:vAlign w:val="center"/>
          </w:tcPr>
          <w:p w14:paraId="3D3BD3BC">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p>
        </w:tc>
        <w:tc>
          <w:tcPr>
            <w:tcW w:w="498" w:type="pct"/>
            <w:shd w:val="clear" w:color="auto" w:fill="auto"/>
            <w:vAlign w:val="center"/>
          </w:tcPr>
          <w:p w14:paraId="50E1F594">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p>
        </w:tc>
        <w:tc>
          <w:tcPr>
            <w:tcW w:w="807" w:type="pct"/>
            <w:shd w:val="clear" w:color="auto" w:fill="auto"/>
            <w:vAlign w:val="center"/>
          </w:tcPr>
          <w:p w14:paraId="10013AF4">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textAlignment w:val="auto"/>
              <w:rPr>
                <w:rFonts w:hint="eastAsia" w:ascii="仿宋" w:hAnsi="仿宋" w:eastAsia="仿宋" w:cs="仿宋"/>
                <w:i w:val="0"/>
                <w:iCs w:val="0"/>
                <w:color w:val="auto"/>
                <w:sz w:val="24"/>
                <w:szCs w:val="24"/>
              </w:rPr>
            </w:pPr>
          </w:p>
        </w:tc>
        <w:tc>
          <w:tcPr>
            <w:tcW w:w="643" w:type="pct"/>
            <w:shd w:val="clear" w:color="auto" w:fill="auto"/>
            <w:vAlign w:val="center"/>
          </w:tcPr>
          <w:p w14:paraId="483757BA">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p>
        </w:tc>
      </w:tr>
      <w:tr w14:paraId="203FED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334" w:type="pct"/>
            <w:shd w:val="clear" w:color="auto" w:fill="auto"/>
            <w:vAlign w:val="center"/>
          </w:tcPr>
          <w:p w14:paraId="1272B97C">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b/>
                <w:i w:val="0"/>
                <w:iCs w:val="0"/>
                <w:color w:val="auto"/>
                <w:sz w:val="24"/>
                <w:szCs w:val="24"/>
              </w:rPr>
            </w:pPr>
            <w:r>
              <w:rPr>
                <w:rFonts w:hint="eastAsia" w:ascii="仿宋" w:hAnsi="仿宋" w:eastAsia="仿宋" w:cs="仿宋"/>
                <w:b/>
                <w:i w:val="0"/>
                <w:iCs w:val="0"/>
                <w:color w:val="auto"/>
                <w:sz w:val="24"/>
                <w:szCs w:val="24"/>
              </w:rPr>
              <w:t>2</w:t>
            </w:r>
          </w:p>
        </w:tc>
        <w:tc>
          <w:tcPr>
            <w:tcW w:w="1216" w:type="pct"/>
            <w:shd w:val="clear" w:color="auto" w:fill="auto"/>
            <w:vAlign w:val="center"/>
          </w:tcPr>
          <w:p w14:paraId="5869B234">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货物（服务）名称2</w:t>
            </w:r>
          </w:p>
        </w:tc>
        <w:tc>
          <w:tcPr>
            <w:tcW w:w="774" w:type="pct"/>
            <w:shd w:val="clear" w:color="auto" w:fill="auto"/>
            <w:vAlign w:val="center"/>
          </w:tcPr>
          <w:p w14:paraId="2D1BA9E0">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textAlignment w:val="auto"/>
              <w:rPr>
                <w:rFonts w:hint="eastAsia" w:ascii="仿宋" w:hAnsi="仿宋" w:eastAsia="仿宋" w:cs="仿宋"/>
                <w:i w:val="0"/>
                <w:iCs w:val="0"/>
                <w:color w:val="auto"/>
                <w:sz w:val="24"/>
                <w:szCs w:val="24"/>
              </w:rPr>
            </w:pPr>
          </w:p>
        </w:tc>
        <w:tc>
          <w:tcPr>
            <w:tcW w:w="370" w:type="pct"/>
            <w:tcBorders>
              <w:right w:val="single" w:color="auto" w:sz="4" w:space="0"/>
            </w:tcBorders>
            <w:shd w:val="clear" w:color="auto" w:fill="auto"/>
            <w:vAlign w:val="center"/>
          </w:tcPr>
          <w:p w14:paraId="6B8892E2">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p>
        </w:tc>
        <w:tc>
          <w:tcPr>
            <w:tcW w:w="353" w:type="pct"/>
            <w:tcBorders>
              <w:left w:val="single" w:color="auto" w:sz="4" w:space="0"/>
            </w:tcBorders>
            <w:shd w:val="clear" w:color="auto" w:fill="auto"/>
            <w:vAlign w:val="center"/>
          </w:tcPr>
          <w:p w14:paraId="3BEDDD24">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p>
        </w:tc>
        <w:tc>
          <w:tcPr>
            <w:tcW w:w="498" w:type="pct"/>
            <w:shd w:val="clear" w:color="auto" w:fill="auto"/>
            <w:vAlign w:val="center"/>
          </w:tcPr>
          <w:p w14:paraId="2E0AA221">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p>
        </w:tc>
        <w:tc>
          <w:tcPr>
            <w:tcW w:w="807" w:type="pct"/>
            <w:shd w:val="clear" w:color="auto" w:fill="auto"/>
            <w:vAlign w:val="center"/>
          </w:tcPr>
          <w:p w14:paraId="5F157B47">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textAlignment w:val="auto"/>
              <w:rPr>
                <w:rFonts w:hint="eastAsia" w:ascii="仿宋" w:hAnsi="仿宋" w:eastAsia="仿宋" w:cs="仿宋"/>
                <w:i w:val="0"/>
                <w:iCs w:val="0"/>
                <w:color w:val="auto"/>
                <w:sz w:val="24"/>
                <w:szCs w:val="24"/>
              </w:rPr>
            </w:pPr>
          </w:p>
        </w:tc>
        <w:tc>
          <w:tcPr>
            <w:tcW w:w="643" w:type="pct"/>
            <w:shd w:val="clear" w:color="auto" w:fill="auto"/>
            <w:vAlign w:val="center"/>
          </w:tcPr>
          <w:p w14:paraId="143F5331">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p>
        </w:tc>
      </w:tr>
      <w:tr w14:paraId="2E0C31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334" w:type="pct"/>
            <w:shd w:val="clear" w:color="auto" w:fill="auto"/>
            <w:vAlign w:val="center"/>
          </w:tcPr>
          <w:p w14:paraId="26CE73CE">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w:t>
            </w:r>
          </w:p>
        </w:tc>
        <w:tc>
          <w:tcPr>
            <w:tcW w:w="1216" w:type="pct"/>
            <w:shd w:val="clear" w:color="auto" w:fill="auto"/>
            <w:vAlign w:val="center"/>
          </w:tcPr>
          <w:p w14:paraId="27C57115">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w:t>
            </w:r>
          </w:p>
        </w:tc>
        <w:tc>
          <w:tcPr>
            <w:tcW w:w="774" w:type="pct"/>
            <w:shd w:val="clear" w:color="auto" w:fill="auto"/>
            <w:vAlign w:val="center"/>
          </w:tcPr>
          <w:p w14:paraId="5BB3FC05">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w:t>
            </w:r>
          </w:p>
        </w:tc>
        <w:tc>
          <w:tcPr>
            <w:tcW w:w="370" w:type="pct"/>
            <w:tcBorders>
              <w:right w:val="single" w:color="auto" w:sz="4" w:space="0"/>
            </w:tcBorders>
            <w:shd w:val="clear" w:color="auto" w:fill="auto"/>
            <w:vAlign w:val="center"/>
          </w:tcPr>
          <w:p w14:paraId="2392F915">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w:t>
            </w:r>
          </w:p>
        </w:tc>
        <w:tc>
          <w:tcPr>
            <w:tcW w:w="353" w:type="pct"/>
            <w:tcBorders>
              <w:left w:val="single" w:color="auto" w:sz="4" w:space="0"/>
            </w:tcBorders>
            <w:shd w:val="clear" w:color="auto" w:fill="auto"/>
            <w:vAlign w:val="center"/>
          </w:tcPr>
          <w:p w14:paraId="1997FEC6">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w:t>
            </w:r>
          </w:p>
        </w:tc>
        <w:tc>
          <w:tcPr>
            <w:tcW w:w="498" w:type="pct"/>
            <w:shd w:val="clear" w:color="auto" w:fill="auto"/>
            <w:vAlign w:val="center"/>
          </w:tcPr>
          <w:p w14:paraId="0A53E5CF">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w:t>
            </w:r>
          </w:p>
        </w:tc>
        <w:tc>
          <w:tcPr>
            <w:tcW w:w="807" w:type="pct"/>
            <w:shd w:val="clear" w:color="auto" w:fill="auto"/>
            <w:vAlign w:val="center"/>
          </w:tcPr>
          <w:p w14:paraId="54E013F1">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w:t>
            </w:r>
          </w:p>
        </w:tc>
        <w:tc>
          <w:tcPr>
            <w:tcW w:w="643" w:type="pct"/>
            <w:shd w:val="clear" w:color="auto" w:fill="auto"/>
            <w:vAlign w:val="center"/>
          </w:tcPr>
          <w:p w14:paraId="1E0494F6">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w:t>
            </w:r>
          </w:p>
        </w:tc>
      </w:tr>
      <w:tr w14:paraId="1D9AF8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4" w:hRule="atLeast"/>
          <w:jc w:val="center"/>
        </w:trPr>
        <w:tc>
          <w:tcPr>
            <w:tcW w:w="3548" w:type="pct"/>
            <w:gridSpan w:val="6"/>
            <w:shd w:val="clear" w:color="auto" w:fill="auto"/>
            <w:vAlign w:val="center"/>
          </w:tcPr>
          <w:p w14:paraId="2C3511B8">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jc w:val="center"/>
              <w:textAlignment w:val="auto"/>
              <w:rPr>
                <w:rFonts w:hint="eastAsia" w:ascii="仿宋" w:hAnsi="仿宋" w:eastAsia="仿宋" w:cs="仿宋"/>
                <w:b/>
                <w:i w:val="0"/>
                <w:iCs w:val="0"/>
                <w:color w:val="auto"/>
                <w:sz w:val="24"/>
                <w:szCs w:val="24"/>
              </w:rPr>
            </w:pPr>
            <w:r>
              <w:rPr>
                <w:rFonts w:hint="eastAsia" w:ascii="仿宋" w:hAnsi="仿宋" w:eastAsia="仿宋" w:cs="仿宋"/>
                <w:b/>
                <w:i w:val="0"/>
                <w:iCs w:val="0"/>
                <w:color w:val="auto"/>
                <w:sz w:val="24"/>
                <w:szCs w:val="24"/>
              </w:rPr>
              <w:t>合计</w:t>
            </w:r>
          </w:p>
        </w:tc>
        <w:tc>
          <w:tcPr>
            <w:tcW w:w="1451" w:type="pct"/>
            <w:gridSpan w:val="2"/>
            <w:shd w:val="clear" w:color="auto" w:fill="auto"/>
            <w:vAlign w:val="center"/>
          </w:tcPr>
          <w:p w14:paraId="056A92F0">
            <w:pPr>
              <w:keepNext w:val="0"/>
              <w:keepLines w:val="0"/>
              <w:pageBreakBefore w:val="0"/>
              <w:widowControl w:val="0"/>
              <w:kinsoku/>
              <w:wordWrap w:val="0"/>
              <w:overflowPunct/>
              <w:topLinePunct w:val="0"/>
              <w:autoSpaceDE/>
              <w:autoSpaceDN/>
              <w:bidi w:val="0"/>
              <w:adjustRightInd/>
              <w:snapToGrid/>
              <w:spacing w:line="400" w:lineRule="exact"/>
              <w:ind w:left="0" w:leftChars="0" w:right="0" w:rightChars="0"/>
              <w:textAlignment w:val="auto"/>
              <w:rPr>
                <w:rFonts w:hint="eastAsia" w:ascii="仿宋" w:hAnsi="仿宋" w:eastAsia="仿宋" w:cs="仿宋"/>
                <w:i w:val="0"/>
                <w:iCs w:val="0"/>
                <w:color w:val="auto"/>
                <w:sz w:val="24"/>
                <w:szCs w:val="24"/>
              </w:rPr>
            </w:pPr>
          </w:p>
        </w:tc>
      </w:tr>
    </w:tbl>
    <w:p w14:paraId="63A5A858">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货物（服务）质量</w:t>
      </w:r>
    </w:p>
    <w:p w14:paraId="7ABB6746">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bCs/>
          <w:i w:val="0"/>
          <w:iCs w:val="0"/>
          <w:color w:val="auto"/>
          <w:sz w:val="24"/>
          <w:szCs w:val="24"/>
          <w:lang w:val="zh-CN"/>
        </w:rPr>
      </w:pPr>
      <w:r>
        <w:rPr>
          <w:rFonts w:hint="eastAsia" w:ascii="仿宋" w:hAnsi="仿宋" w:eastAsia="仿宋" w:cs="仿宋"/>
          <w:i w:val="0"/>
          <w:iCs w:val="0"/>
          <w:color w:val="auto"/>
          <w:sz w:val="24"/>
          <w:szCs w:val="24"/>
        </w:rPr>
        <w:t xml:space="preserve"> </w:t>
      </w:r>
      <w:r>
        <w:rPr>
          <w:rFonts w:hint="eastAsia" w:ascii="仿宋" w:hAnsi="仿宋" w:eastAsia="仿宋" w:cs="仿宋"/>
          <w:i w:val="0"/>
          <w:iCs w:val="0"/>
          <w:color w:val="auto"/>
          <w:sz w:val="24"/>
          <w:szCs w:val="24"/>
          <w:u w:val="single"/>
        </w:rPr>
        <w:t xml:space="preserve">          (以招标文件要求以及投标文件的响应)                    </w:t>
      </w:r>
      <w:r>
        <w:rPr>
          <w:rFonts w:hint="eastAsia" w:ascii="仿宋" w:hAnsi="仿宋" w:eastAsia="仿宋" w:cs="仿宋"/>
          <w:i w:val="0"/>
          <w:iCs w:val="0"/>
          <w:color w:val="auto"/>
          <w:sz w:val="24"/>
          <w:szCs w:val="24"/>
        </w:rPr>
        <w:t xml:space="preserve">。  </w:t>
      </w:r>
    </w:p>
    <w:p w14:paraId="39805F68">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合同履行时间（期限）、地点和方式</w:t>
      </w:r>
    </w:p>
    <w:p w14:paraId="45F73C17">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1.合同履行时间：</w:t>
      </w:r>
      <w:r>
        <w:rPr>
          <w:rFonts w:hint="eastAsia" w:ascii="仿宋" w:hAnsi="仿宋" w:eastAsia="仿宋" w:cs="仿宋"/>
          <w:i w:val="0"/>
          <w:iCs w:val="0"/>
          <w:color w:val="auto"/>
          <w:sz w:val="24"/>
          <w:szCs w:val="24"/>
          <w:lang w:val="zh-CN"/>
        </w:rPr>
        <w:t>自</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年</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月</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日至</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年</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月</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日止。</w:t>
      </w:r>
    </w:p>
    <w:p w14:paraId="7A5E5DD1">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2.交付或服务地点及方式：</w:t>
      </w:r>
      <w:r>
        <w:rPr>
          <w:rFonts w:hint="eastAsia" w:ascii="仿宋" w:hAnsi="仿宋" w:eastAsia="仿宋" w:cs="仿宋"/>
          <w:i w:val="0"/>
          <w:iCs w:val="0"/>
          <w:color w:val="auto"/>
          <w:sz w:val="24"/>
          <w:szCs w:val="24"/>
          <w:u w:val="single"/>
        </w:rPr>
        <w:t xml:space="preserve">       (见招标文件)                     </w:t>
      </w:r>
      <w:r>
        <w:rPr>
          <w:rFonts w:hint="eastAsia" w:ascii="仿宋" w:hAnsi="仿宋" w:eastAsia="仿宋" w:cs="仿宋"/>
          <w:i w:val="0"/>
          <w:iCs w:val="0"/>
          <w:color w:val="auto"/>
          <w:sz w:val="24"/>
          <w:szCs w:val="24"/>
        </w:rPr>
        <w:t>。</w:t>
      </w:r>
    </w:p>
    <w:p w14:paraId="49E6C051">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包装及运输</w:t>
      </w:r>
    </w:p>
    <w:p w14:paraId="5774C4CF">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u w:val="single"/>
        </w:rPr>
        <w:t xml:space="preserve">                               (见招标文件)                      </w:t>
      </w:r>
      <w:r>
        <w:rPr>
          <w:rFonts w:hint="eastAsia" w:ascii="仿宋" w:hAnsi="仿宋" w:eastAsia="仿宋" w:cs="仿宋"/>
          <w:i w:val="0"/>
          <w:iCs w:val="0"/>
          <w:color w:val="auto"/>
          <w:sz w:val="24"/>
          <w:szCs w:val="24"/>
        </w:rPr>
        <w:t>。</w:t>
      </w:r>
    </w:p>
    <w:p w14:paraId="04896DD0">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 xml:space="preserve">合同价款  </w:t>
      </w:r>
    </w:p>
    <w:p w14:paraId="46447E3A">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lang w:val="zh-CN"/>
        </w:rPr>
        <w:t>1.本合同金额为（大写）：人民币</w:t>
      </w:r>
      <w:r>
        <w:rPr>
          <w:rFonts w:hint="eastAsia" w:ascii="仿宋" w:hAnsi="仿宋" w:eastAsia="仿宋" w:cs="仿宋"/>
          <w:i w:val="0"/>
          <w:iCs w:val="0"/>
          <w:color w:val="auto"/>
          <w:sz w:val="24"/>
          <w:szCs w:val="24"/>
          <w:u w:val="single"/>
        </w:rPr>
        <w:t xml:space="preserve">      </w:t>
      </w:r>
      <w:r>
        <w:rPr>
          <w:rFonts w:hint="eastAsia" w:ascii="仿宋" w:hAnsi="仿宋" w:eastAsia="仿宋" w:cs="仿宋"/>
          <w:bCs/>
          <w:i w:val="0"/>
          <w:iCs w:val="0"/>
          <w:color w:val="auto"/>
          <w:sz w:val="24"/>
          <w:szCs w:val="24"/>
          <w:u w:val="single"/>
        </w:rPr>
        <w:t>(见投标文件)</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元（¥：</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w:t>
      </w:r>
    </w:p>
    <w:p w14:paraId="4F3EDC34">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2.合同金额包括乙方完成本合同约定的全部工作可能发生的所有费用（含市场变化等可能发生的费用），即总报价为“交钥匙”价</w:t>
      </w:r>
      <w:r>
        <w:rPr>
          <w:rFonts w:hint="eastAsia" w:ascii="仿宋" w:hAnsi="仿宋" w:eastAsia="仿宋" w:cs="仿宋"/>
          <w:i w:val="0"/>
          <w:iCs w:val="0"/>
          <w:color w:val="auto"/>
          <w:sz w:val="24"/>
          <w:szCs w:val="24"/>
          <w:lang w:val="zh-CN"/>
        </w:rPr>
        <w:t>。</w:t>
      </w:r>
      <w:r>
        <w:rPr>
          <w:rFonts w:hint="eastAsia" w:ascii="仿宋" w:hAnsi="仿宋" w:eastAsia="仿宋" w:cs="仿宋"/>
          <w:i w:val="0"/>
          <w:iCs w:val="0"/>
          <w:color w:val="auto"/>
          <w:sz w:val="24"/>
          <w:szCs w:val="24"/>
        </w:rPr>
        <w:t>甲方在支付此金额后，不再因本合同支付任何其它费用。</w:t>
      </w:r>
    </w:p>
    <w:p w14:paraId="5F557D70">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u w:val="single"/>
        </w:rPr>
      </w:pPr>
      <w:r>
        <w:rPr>
          <w:rFonts w:hint="eastAsia" w:ascii="仿宋" w:hAnsi="仿宋" w:eastAsia="仿宋" w:cs="仿宋"/>
          <w:i w:val="0"/>
          <w:iCs w:val="0"/>
          <w:color w:val="auto"/>
          <w:sz w:val="24"/>
          <w:szCs w:val="24"/>
        </w:rPr>
        <w:t>3.</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 xml:space="preserve"> 。</w:t>
      </w:r>
    </w:p>
    <w:p w14:paraId="4D3A3ABD">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资金支付方式及安排</w:t>
      </w:r>
    </w:p>
    <w:p w14:paraId="21E418F9">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bCs/>
          <w:i w:val="0"/>
          <w:iCs w:val="0"/>
          <w:color w:val="auto"/>
          <w:sz w:val="24"/>
          <w:szCs w:val="24"/>
        </w:rPr>
      </w:pPr>
      <w:r>
        <w:rPr>
          <w:rFonts w:hint="eastAsia" w:ascii="仿宋" w:hAnsi="仿宋" w:eastAsia="仿宋" w:cs="仿宋"/>
          <w:bCs/>
          <w:i w:val="0"/>
          <w:iCs w:val="0"/>
          <w:color w:val="auto"/>
          <w:sz w:val="24"/>
          <w:szCs w:val="24"/>
          <w:u w:val="single"/>
        </w:rPr>
        <w:t xml:space="preserve">     (见招标文件)                                            </w:t>
      </w:r>
      <w:r>
        <w:rPr>
          <w:rFonts w:hint="eastAsia" w:ascii="仿宋" w:hAnsi="仿宋" w:eastAsia="仿宋" w:cs="仿宋"/>
          <w:bCs/>
          <w:i w:val="0"/>
          <w:iCs w:val="0"/>
          <w:color w:val="auto"/>
          <w:sz w:val="24"/>
          <w:szCs w:val="24"/>
        </w:rPr>
        <w:t>。</w:t>
      </w:r>
    </w:p>
    <w:p w14:paraId="5A2BD65F">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交付标准、方法和验收方案</w:t>
      </w:r>
    </w:p>
    <w:p w14:paraId="1A102E72">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1.</w:t>
      </w:r>
      <w:r>
        <w:rPr>
          <w:rFonts w:hint="eastAsia" w:ascii="仿宋" w:hAnsi="仿宋" w:eastAsia="仿宋" w:cs="仿宋"/>
          <w:bCs/>
          <w:i w:val="0"/>
          <w:iCs w:val="0"/>
          <w:color w:val="auto"/>
          <w:sz w:val="24"/>
          <w:szCs w:val="24"/>
          <w:lang w:val="zh-CN"/>
        </w:rPr>
        <w:t>交付标准、方法：</w:t>
      </w:r>
      <w:r>
        <w:rPr>
          <w:rFonts w:hint="eastAsia" w:ascii="仿宋" w:hAnsi="仿宋" w:eastAsia="仿宋" w:cs="仿宋"/>
          <w:bCs/>
          <w:i w:val="0"/>
          <w:iCs w:val="0"/>
          <w:color w:val="auto"/>
          <w:sz w:val="24"/>
          <w:szCs w:val="24"/>
          <w:u w:val="single"/>
          <w:lang w:val="zh-CN"/>
        </w:rPr>
        <w:t xml:space="preserve">        </w:t>
      </w:r>
      <w:r>
        <w:rPr>
          <w:rFonts w:hint="eastAsia" w:ascii="仿宋" w:hAnsi="仿宋" w:eastAsia="仿宋" w:cs="仿宋"/>
          <w:bCs/>
          <w:i w:val="0"/>
          <w:iCs w:val="0"/>
          <w:color w:val="auto"/>
          <w:sz w:val="24"/>
          <w:szCs w:val="24"/>
          <w:u w:val="single"/>
        </w:rPr>
        <w:t>(见招标文件)</w:t>
      </w:r>
      <w:r>
        <w:rPr>
          <w:rFonts w:hint="eastAsia" w:ascii="仿宋" w:hAnsi="仿宋" w:eastAsia="仿宋" w:cs="仿宋"/>
          <w:bCs/>
          <w:i w:val="0"/>
          <w:iCs w:val="0"/>
          <w:color w:val="auto"/>
          <w:sz w:val="24"/>
          <w:szCs w:val="24"/>
          <w:u w:val="single"/>
          <w:lang w:val="zh-CN"/>
        </w:rPr>
        <w:t xml:space="preserve">                         </w:t>
      </w:r>
      <w:r>
        <w:rPr>
          <w:rFonts w:hint="eastAsia" w:ascii="仿宋" w:hAnsi="仿宋" w:eastAsia="仿宋" w:cs="仿宋"/>
          <w:bCs/>
          <w:i w:val="0"/>
          <w:iCs w:val="0"/>
          <w:color w:val="auto"/>
          <w:sz w:val="24"/>
          <w:szCs w:val="24"/>
          <w:lang w:val="zh-CN"/>
        </w:rPr>
        <w:t>。</w:t>
      </w:r>
    </w:p>
    <w:p w14:paraId="3F101E34">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bCs/>
          <w:i w:val="0"/>
          <w:iCs w:val="0"/>
          <w:color w:val="auto"/>
          <w:sz w:val="24"/>
          <w:szCs w:val="24"/>
        </w:rPr>
      </w:pPr>
      <w:r>
        <w:rPr>
          <w:rFonts w:hint="eastAsia" w:ascii="仿宋" w:hAnsi="仿宋" w:eastAsia="仿宋" w:cs="仿宋"/>
          <w:i w:val="0"/>
          <w:iCs w:val="0"/>
          <w:color w:val="auto"/>
          <w:sz w:val="24"/>
          <w:szCs w:val="24"/>
        </w:rPr>
        <w:t>2.</w:t>
      </w:r>
      <w:r>
        <w:rPr>
          <w:rFonts w:hint="eastAsia" w:ascii="仿宋" w:hAnsi="仿宋" w:eastAsia="仿宋" w:cs="仿宋"/>
          <w:bCs/>
          <w:i w:val="0"/>
          <w:iCs w:val="0"/>
          <w:color w:val="auto"/>
          <w:sz w:val="24"/>
          <w:szCs w:val="24"/>
          <w:lang w:val="zh-CN"/>
        </w:rPr>
        <w:t>验收方案：</w:t>
      </w:r>
      <w:r>
        <w:rPr>
          <w:rFonts w:hint="eastAsia" w:ascii="仿宋" w:hAnsi="仿宋" w:eastAsia="仿宋" w:cs="仿宋"/>
          <w:bCs/>
          <w:i w:val="0"/>
          <w:iCs w:val="0"/>
          <w:color w:val="auto"/>
          <w:sz w:val="24"/>
          <w:szCs w:val="24"/>
          <w:u w:val="single"/>
        </w:rPr>
        <w:t xml:space="preserve">            (见招标文件)                           </w:t>
      </w:r>
      <w:r>
        <w:rPr>
          <w:rFonts w:hint="eastAsia" w:ascii="仿宋" w:hAnsi="仿宋" w:eastAsia="仿宋" w:cs="仿宋"/>
          <w:bCs/>
          <w:i w:val="0"/>
          <w:iCs w:val="0"/>
          <w:color w:val="auto"/>
          <w:sz w:val="24"/>
          <w:szCs w:val="24"/>
        </w:rPr>
        <w:t>。</w:t>
      </w:r>
    </w:p>
    <w:p w14:paraId="4606CE4B">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质保（服务）期及质保（服务）范围和要求</w:t>
      </w:r>
    </w:p>
    <w:p w14:paraId="76C78B62">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u w:val="single"/>
        </w:rPr>
      </w:pPr>
      <w:r>
        <w:rPr>
          <w:rFonts w:hint="eastAsia" w:ascii="仿宋" w:hAnsi="仿宋" w:eastAsia="仿宋" w:cs="仿宋"/>
          <w:i w:val="0"/>
          <w:iCs w:val="0"/>
          <w:color w:val="auto"/>
          <w:sz w:val="24"/>
          <w:szCs w:val="24"/>
        </w:rPr>
        <w:t>1.质保（服务)期：</w:t>
      </w:r>
      <w:r>
        <w:rPr>
          <w:rFonts w:hint="eastAsia" w:ascii="仿宋" w:hAnsi="仿宋" w:eastAsia="仿宋" w:cs="仿宋"/>
          <w:i w:val="0"/>
          <w:iCs w:val="0"/>
          <w:color w:val="auto"/>
          <w:sz w:val="24"/>
          <w:szCs w:val="24"/>
          <w:u w:val="single"/>
        </w:rPr>
        <w:t xml:space="preserve">            </w:t>
      </w:r>
      <w:r>
        <w:rPr>
          <w:rFonts w:hint="eastAsia" w:ascii="仿宋" w:hAnsi="仿宋" w:eastAsia="仿宋" w:cs="仿宋"/>
          <w:bCs/>
          <w:i w:val="0"/>
          <w:iCs w:val="0"/>
          <w:color w:val="auto"/>
          <w:sz w:val="24"/>
          <w:szCs w:val="24"/>
          <w:u w:val="single"/>
        </w:rPr>
        <w:t>(见招标文件)</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w:t>
      </w:r>
    </w:p>
    <w:p w14:paraId="76321752">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2.质保（服务）范围：</w:t>
      </w:r>
      <w:r>
        <w:rPr>
          <w:rFonts w:hint="eastAsia" w:ascii="仿宋" w:hAnsi="仿宋" w:eastAsia="仿宋" w:cs="仿宋"/>
          <w:i w:val="0"/>
          <w:iCs w:val="0"/>
          <w:color w:val="auto"/>
          <w:sz w:val="24"/>
          <w:szCs w:val="24"/>
          <w:u w:val="single"/>
        </w:rPr>
        <w:t xml:space="preserve">          </w:t>
      </w:r>
      <w:r>
        <w:rPr>
          <w:rFonts w:hint="eastAsia" w:ascii="仿宋" w:hAnsi="仿宋" w:eastAsia="仿宋" w:cs="仿宋"/>
          <w:bCs/>
          <w:i w:val="0"/>
          <w:iCs w:val="0"/>
          <w:color w:val="auto"/>
          <w:sz w:val="24"/>
          <w:szCs w:val="24"/>
          <w:u w:val="single"/>
        </w:rPr>
        <w:t>(见招标文件)</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lang w:val="zh-CN"/>
        </w:rPr>
        <w:t>。</w:t>
      </w:r>
    </w:p>
    <w:p w14:paraId="06A8ECAE">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3.质保（服务）要求：</w:t>
      </w:r>
      <w:r>
        <w:rPr>
          <w:rFonts w:hint="eastAsia" w:ascii="仿宋" w:hAnsi="仿宋" w:eastAsia="仿宋" w:cs="仿宋"/>
          <w:i w:val="0"/>
          <w:iCs w:val="0"/>
          <w:color w:val="auto"/>
          <w:sz w:val="24"/>
          <w:szCs w:val="24"/>
          <w:u w:val="single"/>
        </w:rPr>
        <w:t xml:space="preserve">          </w:t>
      </w:r>
      <w:r>
        <w:rPr>
          <w:rFonts w:hint="eastAsia" w:ascii="仿宋" w:hAnsi="仿宋" w:eastAsia="仿宋" w:cs="仿宋"/>
          <w:bCs/>
          <w:i w:val="0"/>
          <w:iCs w:val="0"/>
          <w:color w:val="auto"/>
          <w:sz w:val="24"/>
          <w:szCs w:val="24"/>
          <w:u w:val="single"/>
        </w:rPr>
        <w:t>(见招标文件)</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lang w:val="zh-CN"/>
        </w:rPr>
        <w:t>。</w:t>
      </w:r>
    </w:p>
    <w:p w14:paraId="51BE34BE">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项目培训</w:t>
      </w:r>
    </w:p>
    <w:p w14:paraId="404A5E5A">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bCs/>
          <w:i w:val="0"/>
          <w:iCs w:val="0"/>
          <w:color w:val="auto"/>
          <w:sz w:val="24"/>
          <w:szCs w:val="24"/>
        </w:rPr>
      </w:pPr>
      <w:r>
        <w:rPr>
          <w:rFonts w:hint="eastAsia" w:ascii="仿宋" w:hAnsi="仿宋" w:eastAsia="仿宋" w:cs="仿宋"/>
          <w:bCs/>
          <w:i w:val="0"/>
          <w:iCs w:val="0"/>
          <w:color w:val="auto"/>
          <w:sz w:val="24"/>
          <w:szCs w:val="24"/>
          <w:u w:val="single"/>
        </w:rPr>
        <w:t xml:space="preserve">                     (见投标文件)                         </w:t>
      </w:r>
      <w:r>
        <w:rPr>
          <w:rFonts w:hint="eastAsia" w:ascii="仿宋" w:hAnsi="仿宋" w:eastAsia="仿宋" w:cs="仿宋"/>
          <w:bCs/>
          <w:i w:val="0"/>
          <w:iCs w:val="0"/>
          <w:color w:val="auto"/>
          <w:sz w:val="24"/>
          <w:szCs w:val="24"/>
        </w:rPr>
        <w:t>。</w:t>
      </w:r>
    </w:p>
    <w:p w14:paraId="38985402">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知识产权归属、处理方式</w:t>
      </w:r>
    </w:p>
    <w:p w14:paraId="6AC4C19A">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bCs/>
          <w:i w:val="0"/>
          <w:iCs w:val="0"/>
          <w:color w:val="auto"/>
          <w:sz w:val="24"/>
          <w:szCs w:val="24"/>
        </w:rPr>
      </w:pPr>
      <w:r>
        <w:rPr>
          <w:rFonts w:hint="eastAsia" w:ascii="仿宋" w:hAnsi="仿宋" w:eastAsia="仿宋" w:cs="仿宋"/>
          <w:bCs/>
          <w:i w:val="0"/>
          <w:iCs w:val="0"/>
          <w:color w:val="auto"/>
          <w:sz w:val="24"/>
          <w:szCs w:val="24"/>
          <w:u w:val="single"/>
        </w:rPr>
        <w:t xml:space="preserve">                    (见招标文件)                          </w:t>
      </w:r>
      <w:r>
        <w:rPr>
          <w:rFonts w:hint="eastAsia" w:ascii="仿宋" w:hAnsi="仿宋" w:eastAsia="仿宋" w:cs="仿宋"/>
          <w:bCs/>
          <w:i w:val="0"/>
          <w:iCs w:val="0"/>
          <w:color w:val="auto"/>
          <w:sz w:val="24"/>
          <w:szCs w:val="24"/>
        </w:rPr>
        <w:t>。</w:t>
      </w:r>
    </w:p>
    <w:p w14:paraId="74EF5B34">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双方的权利和义务</w:t>
      </w:r>
    </w:p>
    <w:p w14:paraId="639960F1">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bCs/>
          <w:i w:val="0"/>
          <w:iCs w:val="0"/>
          <w:color w:val="auto"/>
          <w:sz w:val="24"/>
          <w:szCs w:val="24"/>
          <w:u w:val="single"/>
        </w:rPr>
      </w:pPr>
      <w:r>
        <w:rPr>
          <w:rFonts w:hint="eastAsia" w:ascii="仿宋" w:hAnsi="仿宋" w:eastAsia="仿宋" w:cs="仿宋"/>
          <w:i w:val="0"/>
          <w:iCs w:val="0"/>
          <w:color w:val="auto"/>
          <w:sz w:val="24"/>
          <w:szCs w:val="24"/>
        </w:rPr>
        <w:t>1.</w:t>
      </w:r>
      <w:r>
        <w:rPr>
          <w:rFonts w:hint="eastAsia" w:ascii="仿宋" w:hAnsi="仿宋" w:eastAsia="仿宋" w:cs="仿宋"/>
          <w:bCs/>
          <w:i w:val="0"/>
          <w:iCs w:val="0"/>
          <w:color w:val="auto"/>
          <w:sz w:val="24"/>
          <w:szCs w:val="24"/>
        </w:rPr>
        <w:t>甲方的</w:t>
      </w:r>
      <w:r>
        <w:rPr>
          <w:rFonts w:hint="eastAsia" w:ascii="仿宋" w:hAnsi="仿宋" w:eastAsia="仿宋" w:cs="仿宋"/>
          <w:i w:val="0"/>
          <w:iCs w:val="0"/>
          <w:color w:val="auto"/>
          <w:sz w:val="24"/>
          <w:szCs w:val="24"/>
        </w:rPr>
        <w:t>权</w:t>
      </w:r>
      <w:r>
        <w:rPr>
          <w:rFonts w:hint="eastAsia" w:ascii="仿宋" w:hAnsi="仿宋" w:eastAsia="仿宋" w:cs="仿宋"/>
          <w:i w:val="0"/>
          <w:iCs w:val="0"/>
          <w:color w:val="auto"/>
          <w:sz w:val="24"/>
          <w:szCs w:val="24"/>
          <w:lang w:eastAsia="zh-CN"/>
        </w:rPr>
        <w:t>利</w:t>
      </w:r>
      <w:r>
        <w:rPr>
          <w:rFonts w:hint="eastAsia" w:ascii="仿宋" w:hAnsi="仿宋" w:eastAsia="仿宋" w:cs="仿宋"/>
          <w:bCs/>
          <w:i w:val="0"/>
          <w:iCs w:val="0"/>
          <w:color w:val="auto"/>
          <w:sz w:val="24"/>
          <w:szCs w:val="24"/>
        </w:rPr>
        <w:t>和义务：</w:t>
      </w:r>
      <w:r>
        <w:rPr>
          <w:rFonts w:hint="eastAsia" w:ascii="仿宋" w:hAnsi="仿宋" w:eastAsia="仿宋" w:cs="仿宋"/>
          <w:bCs/>
          <w:i w:val="0"/>
          <w:iCs w:val="0"/>
          <w:color w:val="auto"/>
          <w:sz w:val="24"/>
          <w:szCs w:val="24"/>
          <w:u w:val="single"/>
        </w:rPr>
        <w:t xml:space="preserve">                                       </w:t>
      </w:r>
      <w:r>
        <w:rPr>
          <w:rFonts w:hint="eastAsia" w:ascii="仿宋" w:hAnsi="仿宋" w:eastAsia="仿宋" w:cs="仿宋"/>
          <w:bCs/>
          <w:i w:val="0"/>
          <w:iCs w:val="0"/>
          <w:color w:val="auto"/>
          <w:sz w:val="24"/>
          <w:szCs w:val="24"/>
        </w:rPr>
        <w:t>。</w:t>
      </w:r>
    </w:p>
    <w:p w14:paraId="5E026028">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bCs/>
          <w:i w:val="0"/>
          <w:iCs w:val="0"/>
          <w:color w:val="auto"/>
          <w:sz w:val="24"/>
          <w:szCs w:val="24"/>
        </w:rPr>
      </w:pPr>
      <w:r>
        <w:rPr>
          <w:rFonts w:hint="eastAsia" w:ascii="仿宋" w:hAnsi="仿宋" w:eastAsia="仿宋" w:cs="仿宋"/>
          <w:i w:val="0"/>
          <w:iCs w:val="0"/>
          <w:color w:val="auto"/>
          <w:sz w:val="24"/>
          <w:szCs w:val="24"/>
        </w:rPr>
        <w:t>2.</w:t>
      </w:r>
      <w:r>
        <w:rPr>
          <w:rFonts w:hint="eastAsia" w:ascii="仿宋" w:hAnsi="仿宋" w:eastAsia="仿宋" w:cs="仿宋"/>
          <w:bCs/>
          <w:i w:val="0"/>
          <w:iCs w:val="0"/>
          <w:color w:val="auto"/>
          <w:sz w:val="24"/>
          <w:szCs w:val="24"/>
        </w:rPr>
        <w:t>乙方的</w:t>
      </w:r>
      <w:r>
        <w:rPr>
          <w:rFonts w:hint="eastAsia" w:ascii="仿宋" w:hAnsi="仿宋" w:eastAsia="仿宋" w:cs="仿宋"/>
          <w:i w:val="0"/>
          <w:iCs w:val="0"/>
          <w:color w:val="auto"/>
          <w:sz w:val="24"/>
          <w:szCs w:val="24"/>
        </w:rPr>
        <w:t>权</w:t>
      </w:r>
      <w:r>
        <w:rPr>
          <w:rFonts w:hint="eastAsia" w:ascii="仿宋" w:hAnsi="仿宋" w:eastAsia="仿宋" w:cs="仿宋"/>
          <w:i w:val="0"/>
          <w:iCs w:val="0"/>
          <w:color w:val="auto"/>
          <w:sz w:val="24"/>
          <w:szCs w:val="24"/>
          <w:lang w:eastAsia="zh-CN"/>
        </w:rPr>
        <w:t>利</w:t>
      </w:r>
      <w:r>
        <w:rPr>
          <w:rFonts w:hint="eastAsia" w:ascii="仿宋" w:hAnsi="仿宋" w:eastAsia="仿宋" w:cs="仿宋"/>
          <w:bCs/>
          <w:i w:val="0"/>
          <w:iCs w:val="0"/>
          <w:color w:val="auto"/>
          <w:sz w:val="24"/>
          <w:szCs w:val="24"/>
        </w:rPr>
        <w:t>和义务：</w:t>
      </w:r>
      <w:r>
        <w:rPr>
          <w:rFonts w:hint="eastAsia" w:ascii="仿宋" w:hAnsi="仿宋" w:eastAsia="仿宋" w:cs="仿宋"/>
          <w:bCs/>
          <w:i w:val="0"/>
          <w:iCs w:val="0"/>
          <w:color w:val="auto"/>
          <w:sz w:val="24"/>
          <w:szCs w:val="24"/>
          <w:u w:val="single"/>
        </w:rPr>
        <w:t xml:space="preserve">                                       </w:t>
      </w:r>
      <w:r>
        <w:rPr>
          <w:rFonts w:hint="eastAsia" w:ascii="仿宋" w:hAnsi="仿宋" w:eastAsia="仿宋" w:cs="仿宋"/>
          <w:bCs/>
          <w:i w:val="0"/>
          <w:iCs w:val="0"/>
          <w:color w:val="auto"/>
          <w:sz w:val="24"/>
          <w:szCs w:val="24"/>
        </w:rPr>
        <w:t>。</w:t>
      </w:r>
    </w:p>
    <w:p w14:paraId="3D52D0F5">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违约责任</w:t>
      </w:r>
    </w:p>
    <w:p w14:paraId="68980DC2">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1.</w:t>
      </w:r>
      <w:r>
        <w:rPr>
          <w:rFonts w:hint="eastAsia" w:ascii="仿宋" w:hAnsi="仿宋" w:eastAsia="仿宋" w:cs="仿宋"/>
          <w:i w:val="0"/>
          <w:iCs w:val="0"/>
          <w:color w:val="auto"/>
          <w:sz w:val="24"/>
          <w:szCs w:val="24"/>
          <w:lang w:val="zh-CN"/>
        </w:rPr>
        <w:t>甲方的违约责任</w:t>
      </w:r>
      <w:r>
        <w:rPr>
          <w:rFonts w:hint="eastAsia" w:ascii="仿宋" w:hAnsi="仿宋" w:eastAsia="仿宋" w:cs="仿宋"/>
          <w:i w:val="0"/>
          <w:iCs w:val="0"/>
          <w:color w:val="auto"/>
          <w:sz w:val="24"/>
          <w:szCs w:val="24"/>
        </w:rPr>
        <w:t>：</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w:t>
      </w:r>
    </w:p>
    <w:p w14:paraId="5F62A690">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2.乙方的违约责任：</w:t>
      </w:r>
      <w:r>
        <w:rPr>
          <w:rFonts w:hint="eastAsia" w:ascii="仿宋" w:hAnsi="仿宋" w:eastAsia="仿宋" w:cs="仿宋"/>
          <w:i w:val="0"/>
          <w:iCs w:val="0"/>
          <w:color w:val="auto"/>
          <w:sz w:val="24"/>
          <w:szCs w:val="24"/>
          <w:u w:val="single"/>
        </w:rPr>
        <w:t xml:space="preserve">        </w:t>
      </w:r>
      <w:r>
        <w:rPr>
          <w:rFonts w:hint="eastAsia" w:ascii="仿宋" w:hAnsi="仿宋" w:eastAsia="仿宋" w:cs="仿宋"/>
          <w:bCs/>
          <w:i w:val="0"/>
          <w:iCs w:val="0"/>
          <w:color w:val="auto"/>
          <w:sz w:val="24"/>
          <w:szCs w:val="24"/>
          <w:u w:val="single"/>
        </w:rPr>
        <w:t>(见招标文件)</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w:t>
      </w:r>
    </w:p>
    <w:p w14:paraId="2C8ED374">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保密条款</w:t>
      </w:r>
    </w:p>
    <w:p w14:paraId="10DAA20B">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bCs/>
          <w:i w:val="0"/>
          <w:iCs w:val="0"/>
          <w:color w:val="auto"/>
          <w:sz w:val="24"/>
          <w:szCs w:val="24"/>
        </w:rPr>
      </w:pPr>
      <w:r>
        <w:rPr>
          <w:rFonts w:hint="eastAsia" w:ascii="仿宋" w:hAnsi="仿宋" w:eastAsia="仿宋" w:cs="仿宋"/>
          <w:bCs/>
          <w:i w:val="0"/>
          <w:iCs w:val="0"/>
          <w:color w:val="auto"/>
          <w:sz w:val="24"/>
          <w:szCs w:val="24"/>
          <w:u w:val="single"/>
        </w:rPr>
        <w:t xml:space="preserve">                         (见招标文件)                      </w:t>
      </w:r>
      <w:r>
        <w:rPr>
          <w:rFonts w:hint="eastAsia" w:ascii="仿宋" w:hAnsi="仿宋" w:eastAsia="仿宋" w:cs="仿宋"/>
          <w:bCs/>
          <w:i w:val="0"/>
          <w:iCs w:val="0"/>
          <w:color w:val="auto"/>
          <w:sz w:val="24"/>
          <w:szCs w:val="24"/>
        </w:rPr>
        <w:t>。</w:t>
      </w:r>
    </w:p>
    <w:p w14:paraId="46062274">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其它补充条款</w:t>
      </w:r>
    </w:p>
    <w:p w14:paraId="6B8CE3E1">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bCs/>
          <w:i w:val="0"/>
          <w:iCs w:val="0"/>
          <w:color w:val="auto"/>
          <w:sz w:val="24"/>
          <w:szCs w:val="24"/>
        </w:rPr>
      </w:pPr>
      <w:r>
        <w:rPr>
          <w:rFonts w:hint="eastAsia" w:ascii="仿宋" w:hAnsi="仿宋" w:eastAsia="仿宋" w:cs="仿宋"/>
          <w:bCs/>
          <w:i w:val="0"/>
          <w:iCs w:val="0"/>
          <w:color w:val="auto"/>
          <w:sz w:val="24"/>
          <w:szCs w:val="24"/>
          <w:u w:val="single"/>
        </w:rPr>
        <w:t xml:space="preserve">                                                           </w:t>
      </w:r>
      <w:r>
        <w:rPr>
          <w:rFonts w:hint="eastAsia" w:ascii="仿宋" w:hAnsi="仿宋" w:eastAsia="仿宋" w:cs="仿宋"/>
          <w:bCs/>
          <w:i w:val="0"/>
          <w:iCs w:val="0"/>
          <w:color w:val="auto"/>
          <w:sz w:val="24"/>
          <w:szCs w:val="24"/>
        </w:rPr>
        <w:t>。</w:t>
      </w:r>
    </w:p>
    <w:p w14:paraId="683CFCDE">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不可抗力</w:t>
      </w:r>
    </w:p>
    <w:p w14:paraId="2345EA58">
      <w:pPr>
        <w:pStyle w:val="314"/>
        <w:keepNext w:val="0"/>
        <w:keepLines w:val="0"/>
        <w:pageBreakBefore w:val="0"/>
        <w:widowControl w:val="0"/>
        <w:kinsoku/>
        <w:overflowPunct/>
        <w:topLinePunct w:val="0"/>
        <w:bidi w:val="0"/>
        <w:adjustRightInd/>
        <w:snapToGrid/>
        <w:spacing w:line="360" w:lineRule="auto"/>
        <w:ind w:left="0" w:leftChars="0" w:firstLine="480" w:firstLineChars="200"/>
        <w:textAlignment w:val="auto"/>
        <w:rPr>
          <w:rFonts w:hint="eastAsia" w:ascii="仿宋" w:hAnsi="仿宋" w:eastAsia="仿宋" w:cs="仿宋"/>
          <w:b/>
          <w:bCs/>
          <w:i w:val="0"/>
          <w:iCs w:val="0"/>
          <w:color w:val="auto"/>
          <w:sz w:val="24"/>
          <w:szCs w:val="24"/>
        </w:rPr>
      </w:pPr>
      <w:r>
        <w:rPr>
          <w:rFonts w:hint="eastAsia" w:ascii="仿宋" w:hAnsi="仿宋" w:eastAsia="仿宋" w:cs="仿宋"/>
          <w:i w:val="0"/>
          <w:iCs w:val="0"/>
          <w:color w:val="auto"/>
          <w:sz w:val="24"/>
          <w:szCs w:val="24"/>
        </w:rPr>
        <w:t>任何一方由于不可抗力原因不能履行合同时，应在不可抗力事件结束后</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日内以书面形式通知对方，以减轻可能给对方造成的损失，在取得有关机构的不可抗力证明或双方谅解确认后，允许延期履行或修订合同，并根据情况可部分或</w:t>
      </w:r>
      <w:r>
        <w:rPr>
          <w:rFonts w:hint="eastAsia" w:ascii="仿宋" w:hAnsi="仿宋" w:eastAsia="仿宋" w:cs="仿宋"/>
          <w:b/>
          <w:bCs/>
          <w:i w:val="0"/>
          <w:iCs w:val="0"/>
          <w:color w:val="auto"/>
          <w:sz w:val="24"/>
          <w:szCs w:val="24"/>
        </w:rPr>
        <w:t>全部免于承担违约责任。</w:t>
      </w:r>
    </w:p>
    <w:p w14:paraId="750C82D7">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解决争议的方法</w:t>
      </w:r>
    </w:p>
    <w:p w14:paraId="789544AC">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一切由执行合同引起的或与本合同有关的争执，双方应通过友好协商解决，如协商不能解决应提交甲方所在地有管辖权的人民法院诉讼解决。</w:t>
      </w:r>
    </w:p>
    <w:p w14:paraId="3B902E7C">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合同组成</w:t>
      </w:r>
    </w:p>
    <w:p w14:paraId="39049FBD">
      <w:pPr>
        <w:keepNext w:val="0"/>
        <w:keepLines w:val="0"/>
        <w:pageBreakBefore w:val="0"/>
        <w:widowControl w:val="0"/>
        <w:kinsoku/>
        <w:wordWrap w:val="0"/>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rPr>
        <w:t>下列文件为本合同不可分割的部分：</w:t>
      </w:r>
    </w:p>
    <w:p w14:paraId="0032E396">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rPr>
        <w:t>1.</w:t>
      </w:r>
      <w:r>
        <w:rPr>
          <w:rFonts w:hint="eastAsia" w:ascii="仿宋" w:hAnsi="仿宋" w:eastAsia="仿宋" w:cs="仿宋"/>
          <w:i w:val="0"/>
          <w:iCs w:val="0"/>
          <w:color w:val="auto"/>
          <w:sz w:val="24"/>
          <w:szCs w:val="24"/>
          <w:lang w:val="zh-CN"/>
        </w:rPr>
        <w:t>合同书；</w:t>
      </w:r>
    </w:p>
    <w:p w14:paraId="532CDAB5">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2.</w:t>
      </w:r>
      <w:r>
        <w:rPr>
          <w:rFonts w:hint="eastAsia" w:ascii="仿宋" w:hAnsi="仿宋" w:eastAsia="仿宋" w:cs="仿宋"/>
          <w:i w:val="0"/>
          <w:iCs w:val="0"/>
          <w:color w:val="auto"/>
          <w:sz w:val="24"/>
          <w:szCs w:val="24"/>
          <w:lang w:val="zh-CN"/>
        </w:rPr>
        <w:t>代理机构发出的中标或成交通知书；</w:t>
      </w:r>
      <w:r>
        <w:rPr>
          <w:rFonts w:hint="eastAsia" w:ascii="仿宋" w:hAnsi="仿宋" w:eastAsia="仿宋" w:cs="仿宋"/>
          <w:i w:val="0"/>
          <w:iCs w:val="0"/>
          <w:color w:val="auto"/>
          <w:sz w:val="24"/>
          <w:szCs w:val="24"/>
        </w:rPr>
        <w:t xml:space="preserve"> </w:t>
      </w:r>
    </w:p>
    <w:p w14:paraId="6E91CA19">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rPr>
        <w:t>3.</w:t>
      </w:r>
      <w:r>
        <w:rPr>
          <w:rFonts w:hint="eastAsia" w:ascii="仿宋" w:hAnsi="仿宋" w:eastAsia="仿宋" w:cs="仿宋"/>
          <w:i w:val="0"/>
          <w:iCs w:val="0"/>
          <w:color w:val="auto"/>
          <w:sz w:val="24"/>
          <w:szCs w:val="24"/>
          <w:lang w:val="zh-CN"/>
        </w:rPr>
        <w:t>经双方确认并共同签字的补充文件、技术协议等；</w:t>
      </w:r>
    </w:p>
    <w:p w14:paraId="350FEB73">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rPr>
        <w:t>4.</w:t>
      </w:r>
      <w:r>
        <w:rPr>
          <w:rFonts w:hint="eastAsia" w:ascii="仿宋" w:hAnsi="仿宋" w:eastAsia="仿宋" w:cs="仿宋"/>
          <w:i w:val="0"/>
          <w:iCs w:val="0"/>
          <w:color w:val="auto"/>
          <w:sz w:val="24"/>
          <w:szCs w:val="24"/>
          <w:lang w:val="zh-CN"/>
        </w:rPr>
        <w:t>乙方的投标或响应文件（含附件、补充文件、图纸等）；</w:t>
      </w:r>
    </w:p>
    <w:p w14:paraId="387C19EC">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rPr>
        <w:t>5.</w:t>
      </w:r>
      <w:r>
        <w:rPr>
          <w:rFonts w:hint="eastAsia" w:ascii="仿宋" w:hAnsi="仿宋" w:eastAsia="仿宋" w:cs="仿宋"/>
          <w:i w:val="0"/>
          <w:iCs w:val="0"/>
          <w:color w:val="auto"/>
          <w:sz w:val="24"/>
          <w:szCs w:val="24"/>
          <w:lang w:val="zh-CN"/>
        </w:rPr>
        <w:t>采购文件（含附件、补充文件、图纸等</w:t>
      </w:r>
      <w:r>
        <w:rPr>
          <w:rFonts w:hint="eastAsia" w:ascii="仿宋" w:hAnsi="仿宋" w:eastAsia="仿宋" w:cs="仿宋"/>
          <w:i w:val="0"/>
          <w:iCs w:val="0"/>
          <w:color w:val="auto"/>
          <w:sz w:val="24"/>
          <w:szCs w:val="24"/>
        </w:rPr>
        <w:t>）。</w:t>
      </w:r>
    </w:p>
    <w:p w14:paraId="63AD6631">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合同生效与终止</w:t>
      </w:r>
    </w:p>
    <w:p w14:paraId="511B6CE1">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1.本合同经甲乙双方授权代表签字和加盖公章（或合同专用章）后生效。如招标申请公证的，合同需经公证机构公证后生效。</w:t>
      </w:r>
    </w:p>
    <w:p w14:paraId="4CEA0F2A">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2.双方履行完各自权利和义务后合同自行终止。</w:t>
      </w:r>
    </w:p>
    <w:p w14:paraId="721B14FA">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3.本合同规定可以终止合同的情形。</w:t>
      </w:r>
    </w:p>
    <w:p w14:paraId="243299E1">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通知与送达</w:t>
      </w:r>
    </w:p>
    <w:p w14:paraId="2596939E">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1.就本合同有关事项，双方应通过本合同约定的联系方式向对方发送相关通知，本合同约定的送达地址同时作为有效司法送达地址。</w:t>
      </w:r>
    </w:p>
    <w:p w14:paraId="2923BE4E">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2.一方变更通知或通讯地址，应自变更之日起</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日内，以书面形式通知对方，否则，由未通知方承担由此而引起的相关责任。</w:t>
      </w:r>
    </w:p>
    <w:p w14:paraId="7CB40150">
      <w:pPr>
        <w:pStyle w:val="308"/>
        <w:keepNext w:val="0"/>
        <w:keepLines w:val="0"/>
        <w:pageBreakBefore w:val="0"/>
        <w:widowControl w:val="0"/>
        <w:numPr>
          <w:ilvl w:val="0"/>
          <w:numId w:val="12"/>
        </w:numPr>
        <w:kinsoku/>
        <w:overflowPunct/>
        <w:topLinePunct w:val="0"/>
        <w:bidi w:val="0"/>
        <w:adjustRightInd/>
        <w:snapToGrid/>
        <w:spacing w:line="360" w:lineRule="auto"/>
        <w:ind w:left="0" w:leftChars="0" w:firstLine="480" w:firstLineChars="200"/>
        <w:textAlignment w:val="auto"/>
        <w:rPr>
          <w:rFonts w:hint="eastAsia" w:ascii="仿宋" w:hAnsi="仿宋" w:eastAsia="仿宋" w:cs="仿宋"/>
          <w:i w:val="0"/>
          <w:iCs w:val="0"/>
          <w:color w:val="auto"/>
          <w:sz w:val="24"/>
          <w:szCs w:val="24"/>
          <w:lang w:val="zh-CN"/>
        </w:rPr>
      </w:pPr>
      <w:r>
        <w:rPr>
          <w:rFonts w:hint="eastAsia" w:ascii="仿宋" w:hAnsi="仿宋" w:eastAsia="仿宋" w:cs="仿宋"/>
          <w:i w:val="0"/>
          <w:iCs w:val="0"/>
          <w:color w:val="auto"/>
          <w:sz w:val="24"/>
          <w:szCs w:val="24"/>
          <w:lang w:val="zh-CN"/>
        </w:rPr>
        <w:t>其它</w:t>
      </w:r>
    </w:p>
    <w:p w14:paraId="186E98E2">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本合同正本一式</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份，甲方执</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份，乙方执</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份；副本一式</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份，甲方执</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份，乙方执</w:t>
      </w:r>
      <w:r>
        <w:rPr>
          <w:rFonts w:hint="eastAsia" w:ascii="仿宋" w:hAnsi="仿宋" w:eastAsia="仿宋" w:cs="仿宋"/>
          <w:i w:val="0"/>
          <w:iCs w:val="0"/>
          <w:color w:val="auto"/>
          <w:sz w:val="24"/>
          <w:szCs w:val="24"/>
          <w:u w:val="single"/>
        </w:rPr>
        <w:t xml:space="preserve">  　</w:t>
      </w:r>
      <w:r>
        <w:rPr>
          <w:rFonts w:hint="eastAsia" w:ascii="仿宋" w:hAnsi="仿宋" w:eastAsia="仿宋" w:cs="仿宋"/>
          <w:i w:val="0"/>
          <w:iCs w:val="0"/>
          <w:color w:val="auto"/>
          <w:sz w:val="24"/>
          <w:szCs w:val="24"/>
        </w:rPr>
        <w:t>份。</w:t>
      </w:r>
    </w:p>
    <w:p w14:paraId="0150D094">
      <w:pPr>
        <w:keepNext w:val="0"/>
        <w:keepLines w:val="0"/>
        <w:pageBreakBefore w:val="0"/>
        <w:widowControl w:val="0"/>
        <w:numPr>
          <w:ilvl w:val="255"/>
          <w:numId w:val="0"/>
        </w:numPr>
        <w:tabs>
          <w:tab w:val="left" w:pos="980"/>
        </w:tabs>
        <w:kinsoku/>
        <w:wordWrap w:val="0"/>
        <w:overflowPunct/>
        <w:topLinePunct w:val="0"/>
        <w:autoSpaceDE w:val="0"/>
        <w:autoSpaceDN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p>
    <w:p w14:paraId="3CE7C7F4">
      <w:pPr>
        <w:keepNext w:val="0"/>
        <w:keepLines w:val="0"/>
        <w:pageBreakBefore w:val="0"/>
        <w:widowControl w:val="0"/>
        <w:kinsoku/>
        <w:wordWrap w:val="0"/>
        <w:overflowPunct/>
        <w:topLinePunct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 xml:space="preserve">    </w:t>
      </w:r>
    </w:p>
    <w:p w14:paraId="4502F020">
      <w:pPr>
        <w:keepNext w:val="0"/>
        <w:keepLines w:val="0"/>
        <w:pageBreakBefore w:val="0"/>
        <w:widowControl w:val="0"/>
        <w:kinsoku/>
        <w:wordWrap w:val="0"/>
        <w:overflowPunct/>
        <w:topLinePunct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甲　　方：</w:t>
      </w:r>
      <w:r>
        <w:rPr>
          <w:rFonts w:hint="eastAsia" w:ascii="仿宋" w:hAnsi="仿宋" w:eastAsia="仿宋" w:cs="仿宋"/>
          <w:i w:val="0"/>
          <w:iCs w:val="0"/>
          <w:color w:val="auto"/>
          <w:sz w:val="24"/>
          <w:szCs w:val="24"/>
        </w:rPr>
        <w:tab/>
      </w:r>
      <w:r>
        <w:rPr>
          <w:rFonts w:hint="eastAsia" w:ascii="仿宋" w:hAnsi="仿宋" w:eastAsia="仿宋" w:cs="仿宋"/>
          <w:i w:val="0"/>
          <w:iCs w:val="0"/>
          <w:color w:val="auto"/>
          <w:sz w:val="24"/>
          <w:szCs w:val="24"/>
        </w:rPr>
        <w:t xml:space="preserve">                         乙　　方：</w:t>
      </w:r>
    </w:p>
    <w:p w14:paraId="1C502984">
      <w:pPr>
        <w:keepNext w:val="0"/>
        <w:keepLines w:val="0"/>
        <w:pageBreakBefore w:val="0"/>
        <w:widowControl w:val="0"/>
        <w:kinsoku/>
        <w:wordWrap w:val="0"/>
        <w:overflowPunct/>
        <w:topLinePunct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单位名称（盖章）：</w:t>
      </w:r>
      <w:r>
        <w:rPr>
          <w:rFonts w:hint="eastAsia" w:ascii="仿宋" w:hAnsi="仿宋" w:eastAsia="仿宋" w:cs="仿宋"/>
          <w:i w:val="0"/>
          <w:iCs w:val="0"/>
          <w:color w:val="auto"/>
          <w:sz w:val="24"/>
          <w:szCs w:val="24"/>
        </w:rPr>
        <w:tab/>
      </w:r>
      <w:r>
        <w:rPr>
          <w:rFonts w:hint="eastAsia" w:ascii="仿宋" w:hAnsi="仿宋" w:eastAsia="仿宋" w:cs="仿宋"/>
          <w:i w:val="0"/>
          <w:iCs w:val="0"/>
          <w:color w:val="auto"/>
          <w:sz w:val="24"/>
          <w:szCs w:val="24"/>
        </w:rPr>
        <w:t xml:space="preserve">                  单位名称（盖章）：</w:t>
      </w:r>
    </w:p>
    <w:p w14:paraId="773D1804">
      <w:pPr>
        <w:keepNext w:val="0"/>
        <w:keepLines w:val="0"/>
        <w:pageBreakBefore w:val="0"/>
        <w:widowControl w:val="0"/>
        <w:kinsoku/>
        <w:wordWrap w:val="0"/>
        <w:overflowPunct/>
        <w:topLinePunct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单位地址：</w:t>
      </w:r>
      <w:r>
        <w:rPr>
          <w:rFonts w:hint="eastAsia" w:ascii="仿宋" w:hAnsi="仿宋" w:eastAsia="仿宋" w:cs="仿宋"/>
          <w:i w:val="0"/>
          <w:iCs w:val="0"/>
          <w:color w:val="auto"/>
          <w:sz w:val="24"/>
          <w:szCs w:val="24"/>
        </w:rPr>
        <w:tab/>
      </w:r>
      <w:r>
        <w:rPr>
          <w:rFonts w:hint="eastAsia" w:ascii="仿宋" w:hAnsi="仿宋" w:eastAsia="仿宋" w:cs="仿宋"/>
          <w:i w:val="0"/>
          <w:iCs w:val="0"/>
          <w:color w:val="auto"/>
          <w:sz w:val="24"/>
          <w:szCs w:val="24"/>
        </w:rPr>
        <w:t xml:space="preserve">                         单位地址：</w:t>
      </w:r>
    </w:p>
    <w:p w14:paraId="166AB2EB">
      <w:pPr>
        <w:keepNext w:val="0"/>
        <w:keepLines w:val="0"/>
        <w:pageBreakBefore w:val="0"/>
        <w:widowControl w:val="0"/>
        <w:kinsoku/>
        <w:wordWrap w:val="0"/>
        <w:overflowPunct/>
        <w:topLinePunct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 xml:space="preserve">法人代表授权人(签字)：             </w:t>
      </w:r>
      <w:r>
        <w:rPr>
          <w:rFonts w:hint="eastAsia" w:ascii="仿宋" w:hAnsi="仿宋" w:eastAsia="仿宋" w:cs="仿宋"/>
          <w:i w:val="0"/>
          <w:iCs w:val="0"/>
          <w:color w:val="auto"/>
          <w:sz w:val="24"/>
          <w:szCs w:val="24"/>
        </w:rPr>
        <w:tab/>
      </w:r>
      <w:r>
        <w:rPr>
          <w:rFonts w:hint="eastAsia" w:ascii="仿宋" w:hAnsi="仿宋" w:eastAsia="仿宋" w:cs="仿宋"/>
          <w:i w:val="0"/>
          <w:iCs w:val="0"/>
          <w:color w:val="auto"/>
          <w:sz w:val="24"/>
          <w:szCs w:val="24"/>
        </w:rPr>
        <w:t>法人代表授权人(签字)：</w:t>
      </w:r>
    </w:p>
    <w:p w14:paraId="30FB9094">
      <w:pPr>
        <w:keepNext w:val="0"/>
        <w:keepLines w:val="0"/>
        <w:pageBreakBefore w:val="0"/>
        <w:widowControl w:val="0"/>
        <w:kinsoku/>
        <w:wordWrap w:val="0"/>
        <w:overflowPunct/>
        <w:topLinePunct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联 系 人：</w:t>
      </w:r>
      <w:r>
        <w:rPr>
          <w:rFonts w:hint="eastAsia" w:ascii="仿宋" w:hAnsi="仿宋" w:eastAsia="仿宋" w:cs="仿宋"/>
          <w:i w:val="0"/>
          <w:iCs w:val="0"/>
          <w:color w:val="auto"/>
          <w:sz w:val="24"/>
          <w:szCs w:val="24"/>
        </w:rPr>
        <w:tab/>
      </w:r>
      <w:r>
        <w:rPr>
          <w:rFonts w:hint="eastAsia" w:ascii="仿宋" w:hAnsi="仿宋" w:eastAsia="仿宋" w:cs="仿宋"/>
          <w:i w:val="0"/>
          <w:iCs w:val="0"/>
          <w:color w:val="auto"/>
          <w:sz w:val="24"/>
          <w:szCs w:val="24"/>
        </w:rPr>
        <w:t xml:space="preserve">                         联 系 人：</w:t>
      </w:r>
    </w:p>
    <w:p w14:paraId="77A0859E">
      <w:pPr>
        <w:keepNext w:val="0"/>
        <w:keepLines w:val="0"/>
        <w:pageBreakBefore w:val="0"/>
        <w:widowControl w:val="0"/>
        <w:kinsoku/>
        <w:wordWrap w:val="0"/>
        <w:overflowPunct/>
        <w:topLinePunct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 xml:space="preserve">电　　话：                         </w:t>
      </w:r>
      <w:r>
        <w:rPr>
          <w:rFonts w:hint="eastAsia" w:ascii="仿宋" w:hAnsi="仿宋" w:eastAsia="仿宋" w:cs="仿宋"/>
          <w:i w:val="0"/>
          <w:iCs w:val="0"/>
          <w:color w:val="auto"/>
          <w:sz w:val="24"/>
          <w:szCs w:val="24"/>
        </w:rPr>
        <w:tab/>
      </w:r>
      <w:r>
        <w:rPr>
          <w:rFonts w:hint="eastAsia" w:ascii="仿宋" w:hAnsi="仿宋" w:eastAsia="仿宋" w:cs="仿宋"/>
          <w:i w:val="0"/>
          <w:iCs w:val="0"/>
          <w:color w:val="auto"/>
          <w:sz w:val="24"/>
          <w:szCs w:val="24"/>
        </w:rPr>
        <w:t>电　　话：</w:t>
      </w:r>
    </w:p>
    <w:p w14:paraId="2542D40E">
      <w:pPr>
        <w:keepNext w:val="0"/>
        <w:keepLines w:val="0"/>
        <w:pageBreakBefore w:val="0"/>
        <w:widowControl w:val="0"/>
        <w:kinsoku/>
        <w:wordWrap w:val="0"/>
        <w:overflowPunct/>
        <w:topLinePunct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 xml:space="preserve">传　　真：                         </w:t>
      </w:r>
      <w:r>
        <w:rPr>
          <w:rFonts w:hint="eastAsia" w:ascii="仿宋" w:hAnsi="仿宋" w:eastAsia="仿宋" w:cs="仿宋"/>
          <w:i w:val="0"/>
          <w:iCs w:val="0"/>
          <w:color w:val="auto"/>
          <w:sz w:val="24"/>
          <w:szCs w:val="24"/>
        </w:rPr>
        <w:tab/>
      </w:r>
      <w:r>
        <w:rPr>
          <w:rFonts w:hint="eastAsia" w:ascii="仿宋" w:hAnsi="仿宋" w:eastAsia="仿宋" w:cs="仿宋"/>
          <w:i w:val="0"/>
          <w:iCs w:val="0"/>
          <w:color w:val="auto"/>
          <w:sz w:val="24"/>
          <w:szCs w:val="24"/>
        </w:rPr>
        <w:t>传　　真：</w:t>
      </w:r>
    </w:p>
    <w:p w14:paraId="34D7D149">
      <w:pPr>
        <w:keepNext w:val="0"/>
        <w:keepLines w:val="0"/>
        <w:pageBreakBefore w:val="0"/>
        <w:widowControl w:val="0"/>
        <w:kinsoku/>
        <w:wordWrap w:val="0"/>
        <w:overflowPunct/>
        <w:topLinePunct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 xml:space="preserve">邮政编码：                         </w:t>
      </w:r>
      <w:r>
        <w:rPr>
          <w:rFonts w:hint="eastAsia" w:ascii="仿宋" w:hAnsi="仿宋" w:eastAsia="仿宋" w:cs="仿宋"/>
          <w:i w:val="0"/>
          <w:iCs w:val="0"/>
          <w:color w:val="auto"/>
          <w:sz w:val="24"/>
          <w:szCs w:val="24"/>
        </w:rPr>
        <w:tab/>
      </w:r>
      <w:r>
        <w:rPr>
          <w:rFonts w:hint="eastAsia" w:ascii="仿宋" w:hAnsi="仿宋" w:eastAsia="仿宋" w:cs="仿宋"/>
          <w:i w:val="0"/>
          <w:iCs w:val="0"/>
          <w:color w:val="auto"/>
          <w:sz w:val="24"/>
          <w:szCs w:val="24"/>
        </w:rPr>
        <w:t>邮政编码：</w:t>
      </w:r>
    </w:p>
    <w:p w14:paraId="355E0784">
      <w:pPr>
        <w:keepNext w:val="0"/>
        <w:keepLines w:val="0"/>
        <w:pageBreakBefore w:val="0"/>
        <w:widowControl w:val="0"/>
        <w:kinsoku/>
        <w:wordWrap w:val="0"/>
        <w:overflowPunct/>
        <w:topLinePunct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 xml:space="preserve">开户银行：                         </w:t>
      </w:r>
      <w:r>
        <w:rPr>
          <w:rFonts w:hint="eastAsia" w:ascii="仿宋" w:hAnsi="仿宋" w:eastAsia="仿宋" w:cs="仿宋"/>
          <w:i w:val="0"/>
          <w:iCs w:val="0"/>
          <w:color w:val="auto"/>
          <w:sz w:val="24"/>
          <w:szCs w:val="24"/>
        </w:rPr>
        <w:tab/>
      </w:r>
      <w:r>
        <w:rPr>
          <w:rFonts w:hint="eastAsia" w:ascii="仿宋" w:hAnsi="仿宋" w:eastAsia="仿宋" w:cs="仿宋"/>
          <w:i w:val="0"/>
          <w:iCs w:val="0"/>
          <w:color w:val="auto"/>
          <w:sz w:val="24"/>
          <w:szCs w:val="24"/>
        </w:rPr>
        <w:t>开户银行：</w:t>
      </w:r>
    </w:p>
    <w:p w14:paraId="2F411723">
      <w:pPr>
        <w:keepNext w:val="0"/>
        <w:keepLines w:val="0"/>
        <w:pageBreakBefore w:val="0"/>
        <w:widowControl w:val="0"/>
        <w:kinsoku/>
        <w:wordWrap w:val="0"/>
        <w:overflowPunct/>
        <w:topLinePunct w:val="0"/>
        <w:bidi w:val="0"/>
        <w:adjustRightInd/>
        <w:snapToGrid/>
        <w:spacing w:line="360" w:lineRule="auto"/>
        <w:ind w:left="0" w:leftChars="0" w:firstLine="480" w:firstLineChars="200"/>
        <w:contextualSpacing/>
        <w:textAlignment w:val="auto"/>
        <w:rPr>
          <w:rFonts w:hint="eastAsia" w:ascii="仿宋" w:hAnsi="仿宋" w:eastAsia="仿宋" w:cs="仿宋"/>
          <w:i w:val="0"/>
          <w:iCs w:val="0"/>
          <w:color w:val="auto"/>
          <w:sz w:val="24"/>
          <w:szCs w:val="24"/>
        </w:rPr>
      </w:pPr>
      <w:r>
        <w:rPr>
          <w:rFonts w:hint="eastAsia" w:ascii="仿宋" w:hAnsi="仿宋" w:eastAsia="仿宋" w:cs="仿宋"/>
          <w:i w:val="0"/>
          <w:iCs w:val="0"/>
          <w:color w:val="auto"/>
          <w:sz w:val="24"/>
          <w:szCs w:val="24"/>
        </w:rPr>
        <w:t xml:space="preserve">账　　号：                         </w:t>
      </w:r>
      <w:r>
        <w:rPr>
          <w:rFonts w:hint="eastAsia" w:ascii="仿宋" w:hAnsi="仿宋" w:eastAsia="仿宋" w:cs="仿宋"/>
          <w:i w:val="0"/>
          <w:iCs w:val="0"/>
          <w:color w:val="auto"/>
          <w:sz w:val="24"/>
          <w:szCs w:val="24"/>
        </w:rPr>
        <w:tab/>
      </w:r>
      <w:r>
        <w:rPr>
          <w:rFonts w:hint="eastAsia" w:ascii="仿宋" w:hAnsi="仿宋" w:eastAsia="仿宋" w:cs="仿宋"/>
          <w:i w:val="0"/>
          <w:iCs w:val="0"/>
          <w:color w:val="auto"/>
          <w:sz w:val="24"/>
          <w:szCs w:val="24"/>
        </w:rPr>
        <w:t>账　　号：</w:t>
      </w:r>
    </w:p>
    <w:p w14:paraId="1B7C7FFF">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i w:val="0"/>
          <w:iCs w:val="0"/>
          <w:color w:val="auto"/>
          <w:sz w:val="24"/>
          <w:szCs w:val="24"/>
        </w:rPr>
        <w:t xml:space="preserve">税　　号：                         </w:t>
      </w:r>
      <w:r>
        <w:rPr>
          <w:rFonts w:hint="eastAsia" w:ascii="仿宋" w:hAnsi="仿宋" w:eastAsia="仿宋" w:cs="仿宋"/>
          <w:i w:val="0"/>
          <w:iCs w:val="0"/>
          <w:color w:val="auto"/>
          <w:sz w:val="24"/>
          <w:szCs w:val="24"/>
        </w:rPr>
        <w:tab/>
      </w:r>
      <w:r>
        <w:rPr>
          <w:rFonts w:hint="eastAsia" w:ascii="仿宋" w:hAnsi="仿宋" w:eastAsia="仿宋" w:cs="仿宋"/>
          <w:i w:val="0"/>
          <w:iCs w:val="0"/>
          <w:color w:val="auto"/>
          <w:sz w:val="24"/>
          <w:szCs w:val="24"/>
        </w:rPr>
        <w:t>税　　号：</w:t>
      </w:r>
    </w:p>
    <w:p w14:paraId="62D3A568">
      <w:pPr>
        <w:spacing w:line="360" w:lineRule="auto"/>
        <w:rPr>
          <w:rFonts w:hint="eastAsia" w:ascii="仿宋" w:hAnsi="仿宋" w:eastAsia="仿宋" w:cs="仿宋"/>
          <w:color w:val="auto"/>
          <w:sz w:val="24"/>
          <w:szCs w:val="24"/>
        </w:rPr>
      </w:pPr>
      <w:bookmarkStart w:id="294" w:name="_Toc249080561"/>
      <w:bookmarkStart w:id="295" w:name="_Toc908"/>
      <w:r>
        <w:rPr>
          <w:rFonts w:hint="eastAsia" w:ascii="仿宋" w:hAnsi="仿宋" w:eastAsia="仿宋" w:cs="仿宋"/>
          <w:color w:val="auto"/>
          <w:sz w:val="24"/>
          <w:szCs w:val="24"/>
        </w:rPr>
        <w:br w:type="page"/>
      </w:r>
    </w:p>
    <w:p w14:paraId="64BE4589">
      <w:pPr>
        <w:pStyle w:val="2"/>
        <w:numPr>
          <w:ilvl w:val="0"/>
          <w:numId w:val="4"/>
        </w:numPr>
        <w:spacing w:before="120" w:after="120" w:line="300" w:lineRule="auto"/>
        <w:rPr>
          <w:rFonts w:hint="eastAsia" w:ascii="黑体" w:hAnsi="黑体" w:eastAsia="黑体" w:cs="黑体"/>
          <w:color w:val="000000"/>
          <w:sz w:val="32"/>
          <w:szCs w:val="32"/>
        </w:rPr>
      </w:pPr>
      <w:bookmarkStart w:id="296" w:name="_Toc9455"/>
      <w:r>
        <w:rPr>
          <w:rFonts w:hint="eastAsia" w:ascii="黑体" w:hAnsi="黑体" w:eastAsia="黑体" w:cs="黑体"/>
          <w:color w:val="000000"/>
          <w:sz w:val="32"/>
          <w:szCs w:val="32"/>
        </w:rPr>
        <w:t>投标文件</w:t>
      </w:r>
      <w:r>
        <w:rPr>
          <w:rFonts w:hint="eastAsia" w:ascii="黑体" w:hAnsi="黑体" w:eastAsia="黑体" w:cs="黑体"/>
          <w:color w:val="000000"/>
          <w:sz w:val="32"/>
          <w:szCs w:val="32"/>
          <w:lang w:val="en-US" w:eastAsia="zh-CN"/>
        </w:rPr>
        <w:t>的</w:t>
      </w:r>
      <w:r>
        <w:rPr>
          <w:rFonts w:hint="eastAsia" w:ascii="黑体" w:hAnsi="黑体" w:eastAsia="黑体" w:cs="黑体"/>
          <w:color w:val="000000"/>
          <w:sz w:val="32"/>
          <w:szCs w:val="32"/>
        </w:rPr>
        <w:t>格式</w:t>
      </w:r>
      <w:bookmarkEnd w:id="294"/>
      <w:bookmarkEnd w:id="295"/>
      <w:bookmarkEnd w:id="296"/>
    </w:p>
    <w:p w14:paraId="081F4F9E">
      <w:pPr>
        <w:pStyle w:val="24"/>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color w:val="000000"/>
          <w:sz w:val="32"/>
          <w:szCs w:val="32"/>
        </w:rPr>
      </w:pPr>
    </w:p>
    <w:p w14:paraId="68E7B9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zh-CN"/>
        </w:rPr>
      </w:pPr>
      <w:bookmarkStart w:id="297" w:name="_Toc155185920"/>
      <w:bookmarkStart w:id="298" w:name="_Toc163492914"/>
      <w:r>
        <w:rPr>
          <w:rFonts w:hint="eastAsia" w:ascii="仿宋" w:hAnsi="仿宋" w:eastAsia="仿宋" w:cs="仿宋"/>
          <w:sz w:val="32"/>
          <w:szCs w:val="32"/>
          <w:lang w:val="zh-CN"/>
        </w:rPr>
        <w:br w:type="page"/>
      </w:r>
    </w:p>
    <w:p w14:paraId="67A150D8">
      <w:pPr>
        <w:pStyle w:val="3"/>
        <w:pageBreakBefore w:val="0"/>
        <w:widowControl w:val="0"/>
        <w:numPr>
          <w:ilvl w:val="0"/>
          <w:numId w:val="13"/>
        </w:numPr>
        <w:kinsoku/>
        <w:overflowPunct/>
        <w:topLinePunct w:val="0"/>
        <w:autoSpaceDE/>
        <w:autoSpaceDN/>
        <w:bidi w:val="0"/>
        <w:adjustRightInd/>
        <w:snapToGrid/>
        <w:spacing w:before="0" w:after="0" w:line="360" w:lineRule="auto"/>
        <w:ind w:left="0" w:firstLine="643" w:firstLineChars="200"/>
        <w:textAlignment w:val="auto"/>
        <w:rPr>
          <w:rFonts w:hint="eastAsia" w:ascii="仿宋" w:hAnsi="仿宋" w:eastAsia="仿宋" w:cs="仿宋"/>
          <w:sz w:val="32"/>
          <w:szCs w:val="32"/>
          <w:lang w:val="zh-CN"/>
        </w:rPr>
      </w:pPr>
      <w:bookmarkStart w:id="299" w:name="_Toc24492"/>
      <w:r>
        <w:rPr>
          <w:rFonts w:hint="eastAsia" w:ascii="仿宋" w:hAnsi="仿宋" w:eastAsia="仿宋" w:cs="仿宋"/>
          <w:sz w:val="32"/>
          <w:szCs w:val="32"/>
          <w:lang w:val="zh-CN"/>
        </w:rPr>
        <w:t>投标函及报价文件</w:t>
      </w:r>
      <w:bookmarkEnd w:id="297"/>
      <w:bookmarkEnd w:id="298"/>
      <w:bookmarkEnd w:id="299"/>
    </w:p>
    <w:p w14:paraId="6B0B9678">
      <w:pPr>
        <w:keepNext w:val="0"/>
        <w:keepLines w:val="0"/>
        <w:pageBreakBefore w:val="0"/>
        <w:widowControl w:val="0"/>
        <w:kinsoku/>
        <w:wordWrap/>
        <w:overflowPunct/>
        <w:topLinePunct w:val="0"/>
        <w:autoSpaceDE w:val="0"/>
        <w:autoSpaceDN w:val="0"/>
        <w:bidi w:val="0"/>
        <w:adjustRightInd w:val="0"/>
        <w:snapToGrid/>
        <w:spacing w:line="360" w:lineRule="auto"/>
        <w:ind w:firstLine="562" w:firstLineChars="200"/>
        <w:jc w:val="left"/>
        <w:textAlignment w:val="auto"/>
        <w:rPr>
          <w:rFonts w:hint="eastAsia" w:ascii="仿宋" w:hAnsi="仿宋" w:eastAsia="仿宋" w:cs="仿宋"/>
          <w:b/>
          <w:sz w:val="28"/>
          <w:szCs w:val="28"/>
          <w:lang w:val="zh-CN"/>
        </w:rPr>
      </w:pPr>
      <w:r>
        <w:rPr>
          <w:rFonts w:hint="eastAsia" w:ascii="仿宋" w:hAnsi="仿宋" w:eastAsia="仿宋" w:cs="仿宋"/>
          <w:b/>
          <w:sz w:val="28"/>
          <w:szCs w:val="28"/>
          <w:lang w:val="zh-CN"/>
        </w:rPr>
        <w:t>封面：</w:t>
      </w:r>
    </w:p>
    <w:p w14:paraId="4A3096D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4"/>
        </w:rPr>
      </w:pPr>
    </w:p>
    <w:p w14:paraId="6F1973E9">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4"/>
        </w:rPr>
      </w:pPr>
    </w:p>
    <w:p w14:paraId="04188FDD">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sz w:val="21"/>
          <w:szCs w:val="24"/>
        </w:rPr>
      </w:pPr>
    </w:p>
    <w:p w14:paraId="5A9B6DDB">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b/>
          <w:sz w:val="84"/>
          <w:szCs w:val="84"/>
        </w:rPr>
      </w:pPr>
      <w:r>
        <w:rPr>
          <w:rFonts w:hint="eastAsia" w:ascii="仿宋" w:hAnsi="仿宋" w:eastAsia="仿宋" w:cs="仿宋"/>
          <w:b/>
          <w:sz w:val="84"/>
          <w:szCs w:val="84"/>
        </w:rPr>
        <w:t>投 标 文 件</w:t>
      </w:r>
    </w:p>
    <w:p w14:paraId="7666BC8D">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b/>
          <w:sz w:val="56"/>
          <w:szCs w:val="56"/>
        </w:rPr>
      </w:pPr>
      <w:r>
        <w:rPr>
          <w:rFonts w:hint="eastAsia" w:ascii="仿宋" w:hAnsi="仿宋" w:eastAsia="仿宋" w:cs="仿宋"/>
          <w:b/>
          <w:sz w:val="56"/>
          <w:szCs w:val="56"/>
        </w:rPr>
        <w:t>投标函及报价文件</w:t>
      </w:r>
    </w:p>
    <w:p w14:paraId="09DCD42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b/>
          <w:bCs/>
          <w:sz w:val="22"/>
        </w:rPr>
      </w:pPr>
    </w:p>
    <w:p w14:paraId="40F9DAD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1"/>
        </w:rPr>
      </w:pPr>
    </w:p>
    <w:p w14:paraId="57E441D2">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1"/>
        </w:rPr>
      </w:pPr>
    </w:p>
    <w:p w14:paraId="33518AA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1"/>
        </w:rPr>
      </w:pPr>
    </w:p>
    <w:p w14:paraId="2A5424CE">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项目编号：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170E5D00">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项目名称</w:t>
      </w:r>
      <w:r>
        <w:rPr>
          <w:rFonts w:hint="eastAsia" w:ascii="仿宋" w:hAnsi="仿宋" w:eastAsia="仿宋" w:cs="仿宋"/>
          <w:b/>
          <w:bCs/>
          <w:sz w:val="32"/>
          <w:szCs w:val="32"/>
          <w:lang w:eastAsia="zh-CN"/>
        </w:rPr>
        <w:t>：</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739B3388">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采购包编号：</w:t>
      </w:r>
      <w:r>
        <w:rPr>
          <w:rFonts w:hint="eastAsia" w:ascii="仿宋" w:hAnsi="仿宋" w:eastAsia="仿宋" w:cs="仿宋"/>
          <w:b/>
          <w:bCs/>
          <w:sz w:val="32"/>
          <w:szCs w:val="32"/>
          <w:u w:val="single"/>
        </w:rPr>
        <w:t xml:space="preserve"> 【如有】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24939B36">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采购包名称：</w:t>
      </w:r>
      <w:r>
        <w:rPr>
          <w:rFonts w:hint="eastAsia" w:ascii="仿宋" w:hAnsi="仿宋" w:eastAsia="仿宋" w:cs="仿宋"/>
          <w:b/>
          <w:bCs/>
          <w:sz w:val="32"/>
          <w:szCs w:val="32"/>
          <w:u w:val="single"/>
        </w:rPr>
        <w:t xml:space="preserve"> 【如有】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7B39893C">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投标人：</w:t>
      </w:r>
      <w:r>
        <w:rPr>
          <w:rFonts w:hint="eastAsia" w:ascii="仿宋" w:hAnsi="仿宋" w:eastAsia="仿宋" w:cs="仿宋"/>
          <w:b/>
          <w:bCs/>
          <w:sz w:val="32"/>
          <w:szCs w:val="32"/>
          <w:u w:val="single"/>
        </w:rPr>
        <w:t xml:space="preserve">                                          </w:t>
      </w:r>
    </w:p>
    <w:p w14:paraId="196658D8">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7E88DF38">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1223BA42">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3F808EBD">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3AE10C33">
      <w:pPr>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年   月    日</w:t>
      </w:r>
    </w:p>
    <w:p w14:paraId="0A0A2AF3">
      <w:pPr>
        <w:rPr>
          <w:rFonts w:hint="eastAsia" w:ascii="仿宋" w:hAnsi="仿宋" w:eastAsia="仿宋" w:cs="仿宋"/>
          <w:sz w:val="32"/>
          <w:szCs w:val="32"/>
          <w:lang w:val="zh-CN"/>
        </w:rPr>
      </w:pPr>
      <w:bookmarkStart w:id="300" w:name="_Toc25402"/>
      <w:bookmarkStart w:id="301" w:name="_Toc109900327"/>
      <w:bookmarkStart w:id="302" w:name="_Toc109899489"/>
      <w:bookmarkStart w:id="303" w:name="_Toc3577"/>
      <w:bookmarkStart w:id="304" w:name="_Toc163492915"/>
      <w:bookmarkStart w:id="305" w:name="_Toc140132831"/>
      <w:bookmarkStart w:id="306" w:name="_Toc109899908"/>
      <w:bookmarkStart w:id="307" w:name="_Toc155185921"/>
      <w:r>
        <w:rPr>
          <w:rFonts w:hint="eastAsia" w:ascii="仿宋" w:hAnsi="仿宋" w:eastAsia="仿宋" w:cs="仿宋"/>
          <w:sz w:val="32"/>
          <w:szCs w:val="32"/>
          <w:lang w:val="zh-CN"/>
        </w:rPr>
        <w:br w:type="page"/>
      </w:r>
    </w:p>
    <w:p w14:paraId="075EACCF">
      <w:pPr>
        <w:pStyle w:val="3"/>
        <w:pageBreakBefore w:val="0"/>
        <w:widowControl w:val="0"/>
        <w:numPr>
          <w:ilvl w:val="0"/>
          <w:numId w:val="0"/>
        </w:numPr>
        <w:kinsoku/>
        <w:wordWrap/>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08" w:name="_Toc11035"/>
      <w:r>
        <w:rPr>
          <w:rFonts w:hint="eastAsia" w:ascii="仿宋" w:hAnsi="仿宋" w:eastAsia="仿宋" w:cs="仿宋"/>
          <w:sz w:val="32"/>
          <w:szCs w:val="32"/>
          <w:lang w:val="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val="zh-CN"/>
        </w:rPr>
        <w:t>）投标函</w:t>
      </w:r>
      <w:bookmarkEnd w:id="300"/>
      <w:bookmarkEnd w:id="301"/>
      <w:bookmarkEnd w:id="302"/>
      <w:bookmarkEnd w:id="303"/>
      <w:bookmarkEnd w:id="304"/>
      <w:bookmarkEnd w:id="305"/>
      <w:bookmarkEnd w:id="306"/>
      <w:bookmarkEnd w:id="307"/>
      <w:bookmarkEnd w:id="308"/>
    </w:p>
    <w:p w14:paraId="60C0D0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致：（采购人和采购代理机构）</w:t>
      </w:r>
    </w:p>
    <w:p w14:paraId="13C79D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sz w:val="24"/>
          <w:szCs w:val="24"/>
        </w:rPr>
      </w:pPr>
      <w:r>
        <w:rPr>
          <w:rFonts w:hint="eastAsia" w:ascii="仿宋" w:hAnsi="仿宋" w:eastAsia="仿宋" w:cs="仿宋"/>
          <w:sz w:val="24"/>
          <w:szCs w:val="24"/>
        </w:rPr>
        <w:t>根据贵方</w:t>
      </w:r>
      <w:r>
        <w:rPr>
          <w:rFonts w:hint="eastAsia" w:ascii="仿宋" w:hAnsi="仿宋" w:eastAsia="仿宋" w:cs="仿宋"/>
          <w:sz w:val="24"/>
          <w:szCs w:val="24"/>
          <w:u w:val="single"/>
        </w:rPr>
        <w:t>（项目名称）（项目编号）</w:t>
      </w:r>
      <w:r>
        <w:rPr>
          <w:rFonts w:hint="eastAsia" w:ascii="仿宋" w:hAnsi="仿宋" w:eastAsia="仿宋" w:cs="仿宋"/>
          <w:sz w:val="24"/>
          <w:szCs w:val="24"/>
        </w:rPr>
        <w:t>招标的投标邀请，签字代表</w:t>
      </w:r>
      <w:r>
        <w:rPr>
          <w:rFonts w:hint="eastAsia" w:ascii="仿宋" w:hAnsi="仿宋" w:eastAsia="仿宋" w:cs="仿宋"/>
          <w:sz w:val="24"/>
          <w:szCs w:val="24"/>
          <w:u w:val="single"/>
        </w:rPr>
        <w:t>（姓名、职务）</w:t>
      </w:r>
      <w:r>
        <w:rPr>
          <w:rFonts w:hint="eastAsia" w:ascii="仿宋" w:hAnsi="仿宋" w:eastAsia="仿宋" w:cs="仿宋"/>
          <w:sz w:val="24"/>
          <w:szCs w:val="24"/>
        </w:rPr>
        <w:t>经正式授权并代表投标人</w:t>
      </w:r>
      <w:r>
        <w:rPr>
          <w:rFonts w:hint="eastAsia" w:ascii="仿宋" w:hAnsi="仿宋" w:eastAsia="仿宋" w:cs="仿宋"/>
          <w:sz w:val="24"/>
          <w:szCs w:val="24"/>
          <w:u w:val="single"/>
        </w:rPr>
        <w:t>（投标人名称、地址）</w:t>
      </w:r>
      <w:r>
        <w:rPr>
          <w:rFonts w:hint="eastAsia" w:ascii="仿宋" w:hAnsi="仿宋" w:eastAsia="仿宋" w:cs="仿宋"/>
          <w:sz w:val="24"/>
          <w:szCs w:val="24"/>
        </w:rPr>
        <w:t>提交下述文件</w:t>
      </w:r>
      <w:r>
        <w:rPr>
          <w:rFonts w:hint="eastAsia" w:ascii="仿宋" w:hAnsi="仿宋" w:eastAsia="仿宋" w:cs="仿宋"/>
          <w:b/>
          <w:bCs/>
          <w:sz w:val="24"/>
          <w:szCs w:val="24"/>
        </w:rPr>
        <w:t>：</w:t>
      </w:r>
    </w:p>
    <w:p w14:paraId="09182C90">
      <w:pPr>
        <w:keepNext w:val="0"/>
        <w:keepLines w:val="0"/>
        <w:pageBreakBefore w:val="0"/>
        <w:widowControl w:val="0"/>
        <w:numPr>
          <w:ilvl w:val="0"/>
          <w:numId w:val="14"/>
        </w:numPr>
        <w:tabs>
          <w:tab w:val="left" w:pos="0"/>
          <w:tab w:val="clear" w:pos="720"/>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投标报价文件；</w:t>
      </w:r>
    </w:p>
    <w:p w14:paraId="7EE5E348">
      <w:pPr>
        <w:keepNext w:val="0"/>
        <w:keepLines w:val="0"/>
        <w:pageBreakBefore w:val="0"/>
        <w:widowControl w:val="0"/>
        <w:numPr>
          <w:ilvl w:val="0"/>
          <w:numId w:val="14"/>
        </w:numPr>
        <w:tabs>
          <w:tab w:val="left" w:pos="0"/>
          <w:tab w:val="clear" w:pos="720"/>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资格性响应文件；</w:t>
      </w:r>
    </w:p>
    <w:p w14:paraId="4EE2A0CD">
      <w:pPr>
        <w:keepNext w:val="0"/>
        <w:keepLines w:val="0"/>
        <w:pageBreakBefore w:val="0"/>
        <w:widowControl w:val="0"/>
        <w:numPr>
          <w:ilvl w:val="0"/>
          <w:numId w:val="14"/>
        </w:numPr>
        <w:tabs>
          <w:tab w:val="left" w:pos="0"/>
          <w:tab w:val="clear" w:pos="720"/>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其他响应文件。</w:t>
      </w:r>
    </w:p>
    <w:p w14:paraId="1F9C9E3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根据此函，签字代表宣布同意如下：</w:t>
      </w:r>
    </w:p>
    <w:p w14:paraId="24423F47">
      <w:pPr>
        <w:keepNext w:val="0"/>
        <w:keepLines w:val="0"/>
        <w:pageBreakBefore w:val="0"/>
        <w:widowControl w:val="0"/>
        <w:numPr>
          <w:ilvl w:val="0"/>
          <w:numId w:val="15"/>
        </w:numPr>
        <w:tabs>
          <w:tab w:val="left" w:pos="0"/>
          <w:tab w:val="clear" w:pos="720"/>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所附投标价格表中规定的应提交和交付的服务和货物（如有）的投标报价为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折扣</w:t>
      </w:r>
      <w:r>
        <w:rPr>
          <w:rFonts w:hint="eastAsia" w:ascii="仿宋" w:hAnsi="仿宋" w:eastAsia="仿宋" w:cs="仿宋"/>
          <w:sz w:val="24"/>
          <w:szCs w:val="24"/>
          <w:lang w:eastAsia="zh-CN"/>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w:t>
      </w:r>
      <w:r>
        <w:rPr>
          <w:rFonts w:hint="eastAsia" w:ascii="仿宋" w:hAnsi="仿宋" w:eastAsia="仿宋" w:cs="仿宋"/>
          <w:sz w:val="24"/>
          <w:szCs w:val="24"/>
        </w:rPr>
        <w:t>。</w:t>
      </w:r>
    </w:p>
    <w:p w14:paraId="41AE08DF">
      <w:pPr>
        <w:keepNext w:val="0"/>
        <w:keepLines w:val="0"/>
        <w:pageBreakBefore w:val="0"/>
        <w:widowControl w:val="0"/>
        <w:numPr>
          <w:ilvl w:val="0"/>
          <w:numId w:val="15"/>
        </w:numPr>
        <w:tabs>
          <w:tab w:val="left" w:pos="0"/>
          <w:tab w:val="clear" w:pos="720"/>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我方将按招标文件的规定履行合同责任和义务。</w:t>
      </w:r>
    </w:p>
    <w:p w14:paraId="755E2715">
      <w:pPr>
        <w:keepNext w:val="0"/>
        <w:keepLines w:val="0"/>
        <w:pageBreakBefore w:val="0"/>
        <w:widowControl w:val="0"/>
        <w:numPr>
          <w:ilvl w:val="0"/>
          <w:numId w:val="15"/>
        </w:numPr>
        <w:tabs>
          <w:tab w:val="left" w:pos="0"/>
          <w:tab w:val="clear" w:pos="720"/>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i w:val="0"/>
          <w:iCs w:val="0"/>
          <w:sz w:val="24"/>
          <w:szCs w:val="24"/>
        </w:rPr>
      </w:pPr>
      <w:r>
        <w:rPr>
          <w:rFonts w:hint="eastAsia" w:ascii="仿宋" w:hAnsi="仿宋" w:eastAsia="仿宋" w:cs="仿宋"/>
          <w:sz w:val="24"/>
          <w:szCs w:val="24"/>
        </w:rPr>
        <w:t>我方已详细审查全部招标文</w:t>
      </w:r>
      <w:r>
        <w:rPr>
          <w:rFonts w:hint="eastAsia" w:ascii="仿宋" w:hAnsi="仿宋" w:eastAsia="仿宋" w:cs="仿宋"/>
          <w:i w:val="0"/>
          <w:iCs w:val="0"/>
          <w:sz w:val="24"/>
          <w:szCs w:val="24"/>
        </w:rPr>
        <w:t>件，包括第</w:t>
      </w:r>
      <w:r>
        <w:rPr>
          <w:rFonts w:hint="eastAsia" w:ascii="仿宋" w:hAnsi="仿宋" w:eastAsia="仿宋" w:cs="仿宋"/>
          <w:i w:val="0"/>
          <w:iCs w:val="0"/>
          <w:sz w:val="24"/>
          <w:szCs w:val="24"/>
          <w:u w:val="single"/>
        </w:rPr>
        <w:t>（编号、补遗书）（如果有的话）</w:t>
      </w:r>
      <w:r>
        <w:rPr>
          <w:rFonts w:hint="eastAsia" w:ascii="仿宋" w:hAnsi="仿宋" w:eastAsia="仿宋" w:cs="仿宋"/>
          <w:i w:val="0"/>
          <w:iCs w:val="0"/>
          <w:sz w:val="24"/>
          <w:szCs w:val="24"/>
        </w:rPr>
        <w:t>。我方完全理解并同意放弃对这方面有不明及误解的权力。</w:t>
      </w:r>
    </w:p>
    <w:p w14:paraId="0D161330">
      <w:pPr>
        <w:keepNext w:val="0"/>
        <w:keepLines w:val="0"/>
        <w:pageBreakBefore w:val="0"/>
        <w:widowControl w:val="0"/>
        <w:numPr>
          <w:ilvl w:val="0"/>
          <w:numId w:val="15"/>
        </w:numPr>
        <w:tabs>
          <w:tab w:val="left" w:pos="0"/>
          <w:tab w:val="clear" w:pos="720"/>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i w:val="0"/>
          <w:iCs w:val="0"/>
          <w:sz w:val="24"/>
          <w:szCs w:val="24"/>
        </w:rPr>
      </w:pPr>
      <w:r>
        <w:rPr>
          <w:rFonts w:hint="eastAsia" w:ascii="仿宋" w:hAnsi="仿宋" w:eastAsia="仿宋" w:cs="仿宋"/>
          <w:i w:val="0"/>
          <w:iCs w:val="0"/>
          <w:sz w:val="24"/>
          <w:szCs w:val="24"/>
        </w:rPr>
        <w:t>投标/响应有效期为自提交投标/响应文件的截止之日起</w:t>
      </w:r>
      <w:r>
        <w:rPr>
          <w:rFonts w:hint="eastAsia" w:ascii="仿宋" w:hAnsi="仿宋" w:eastAsia="仿宋" w:cs="仿宋"/>
          <w:i w:val="0"/>
          <w:iCs w:val="0"/>
          <w:sz w:val="24"/>
          <w:szCs w:val="24"/>
          <w:u w:val="single"/>
        </w:rPr>
        <w:t>（由投标人填写）</w:t>
      </w:r>
      <w:r>
        <w:rPr>
          <w:rFonts w:hint="eastAsia" w:ascii="仿宋" w:hAnsi="仿宋" w:eastAsia="仿宋" w:cs="仿宋"/>
          <w:i w:val="0"/>
          <w:iCs w:val="0"/>
          <w:sz w:val="24"/>
          <w:szCs w:val="24"/>
        </w:rPr>
        <w:t>个日历天。</w:t>
      </w:r>
    </w:p>
    <w:p w14:paraId="740F0752">
      <w:pPr>
        <w:keepNext w:val="0"/>
        <w:keepLines w:val="0"/>
        <w:pageBreakBefore w:val="0"/>
        <w:widowControl w:val="0"/>
        <w:numPr>
          <w:ilvl w:val="0"/>
          <w:numId w:val="15"/>
        </w:numPr>
        <w:tabs>
          <w:tab w:val="left" w:pos="0"/>
          <w:tab w:val="clear" w:pos="720"/>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我方同意提供按照贵方投标文件要求的与其投标有关的一切数据或资料，采用综合评分法时，我方完全理解贵方不一定接受最低价的投标。</w:t>
      </w:r>
    </w:p>
    <w:p w14:paraId="1BE91156">
      <w:pPr>
        <w:keepNext w:val="0"/>
        <w:keepLines w:val="0"/>
        <w:pageBreakBefore w:val="0"/>
        <w:widowControl w:val="0"/>
        <w:numPr>
          <w:ilvl w:val="0"/>
          <w:numId w:val="15"/>
        </w:numPr>
        <w:tabs>
          <w:tab w:val="left" w:pos="0"/>
          <w:tab w:val="clear" w:pos="720"/>
        </w:tabs>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i w:val="0"/>
          <w:iCs w:val="0"/>
          <w:sz w:val="24"/>
          <w:szCs w:val="24"/>
        </w:rPr>
      </w:pPr>
      <w:r>
        <w:rPr>
          <w:rFonts w:hint="eastAsia" w:ascii="仿宋" w:hAnsi="仿宋" w:eastAsia="仿宋" w:cs="仿宋"/>
          <w:sz w:val="24"/>
          <w:szCs w:val="24"/>
        </w:rPr>
        <w:t>本项目如由中标人支付采购代理服务费，我方同意按投标人须知前附表中规定向采购代理机构</w:t>
      </w:r>
      <w:r>
        <w:rPr>
          <w:rFonts w:hint="eastAsia" w:ascii="仿宋" w:hAnsi="仿宋" w:eastAsia="仿宋" w:cs="仿宋"/>
          <w:i w:val="0"/>
          <w:iCs w:val="0"/>
          <w:sz w:val="24"/>
          <w:szCs w:val="24"/>
        </w:rPr>
        <w:t>支付采购代理服务费。</w:t>
      </w:r>
    </w:p>
    <w:p w14:paraId="6667C766">
      <w:pPr>
        <w:keepNext w:val="0"/>
        <w:keepLines w:val="0"/>
        <w:pageBreakBefore w:val="0"/>
        <w:widowControl w:val="0"/>
        <w:numPr>
          <w:ilvl w:val="0"/>
          <w:numId w:val="15"/>
        </w:numPr>
        <w:tabs>
          <w:tab w:val="left" w:pos="0"/>
          <w:tab w:val="clear" w:pos="720"/>
        </w:tabs>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rPr>
        <w:t>重要声明：</w:t>
      </w:r>
    </w:p>
    <w:p w14:paraId="764840FE">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lang w:eastAsia="zh-CN"/>
        </w:rPr>
        <w:t>（</w:t>
      </w:r>
      <w:r>
        <w:rPr>
          <w:rFonts w:hint="eastAsia" w:ascii="仿宋" w:hAnsi="仿宋" w:eastAsia="仿宋" w:cs="仿宋"/>
          <w:b/>
          <w:bCs/>
          <w:i w:val="0"/>
          <w:iCs w:val="0"/>
          <w:sz w:val="24"/>
          <w:szCs w:val="24"/>
          <w:lang w:val="en-US" w:eastAsia="zh-CN"/>
        </w:rPr>
        <w:t>1</w:t>
      </w:r>
      <w:r>
        <w:rPr>
          <w:rFonts w:hint="eastAsia" w:ascii="仿宋" w:hAnsi="仿宋" w:eastAsia="仿宋" w:cs="仿宋"/>
          <w:b/>
          <w:bCs/>
          <w:i w:val="0"/>
          <w:iCs w:val="0"/>
          <w:sz w:val="24"/>
          <w:szCs w:val="24"/>
          <w:lang w:eastAsia="zh-CN"/>
        </w:rPr>
        <w:t>）</w:t>
      </w:r>
      <w:r>
        <w:rPr>
          <w:rFonts w:hint="eastAsia" w:ascii="仿宋" w:hAnsi="仿宋" w:eastAsia="仿宋" w:cs="仿宋"/>
          <w:b/>
          <w:bCs/>
          <w:i w:val="0"/>
          <w:iCs w:val="0"/>
          <w:sz w:val="24"/>
          <w:szCs w:val="24"/>
        </w:rPr>
        <w:t>与我方单位负责人为同一人的其他单位名称：</w:t>
      </w:r>
    </w:p>
    <w:p w14:paraId="61E4CA3C">
      <w:pPr>
        <w:keepNext w:val="0"/>
        <w:keepLines w:val="0"/>
        <w:pageBreakBefore w:val="0"/>
        <w:widowControl w:val="0"/>
        <w:kinsoku/>
        <w:wordWrap/>
        <w:overflowPunct/>
        <w:topLinePunct w:val="0"/>
        <w:autoSpaceDE/>
        <w:autoSpaceDN/>
        <w:bidi w:val="0"/>
        <w:adjustRightInd/>
        <w:snapToGrid/>
        <w:spacing w:line="360" w:lineRule="auto"/>
        <w:ind w:left="399" w:leftChars="190" w:firstLine="482" w:firstLineChars="200"/>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lang w:eastAsia="zh-CN"/>
        </w:rPr>
        <w:t>□</w:t>
      </w:r>
      <w:r>
        <w:rPr>
          <w:rFonts w:hint="eastAsia" w:ascii="仿宋" w:hAnsi="仿宋" w:eastAsia="仿宋" w:cs="仿宋"/>
          <w:b/>
          <w:bCs/>
          <w:i w:val="0"/>
          <w:iCs w:val="0"/>
          <w:sz w:val="24"/>
          <w:szCs w:val="24"/>
        </w:rPr>
        <w:t>无；□有，具体单位名称为：</w:t>
      </w:r>
      <w:r>
        <w:rPr>
          <w:rFonts w:hint="eastAsia" w:ascii="仿宋" w:hAnsi="仿宋" w:eastAsia="仿宋" w:cs="仿宋"/>
          <w:b/>
          <w:bCs/>
          <w:i w:val="0"/>
          <w:iCs w:val="0"/>
          <w:sz w:val="24"/>
          <w:szCs w:val="24"/>
          <w:u w:val="single"/>
        </w:rPr>
        <w:t>（由投标人如实填写）</w:t>
      </w:r>
      <w:r>
        <w:rPr>
          <w:rFonts w:hint="eastAsia" w:ascii="仿宋" w:hAnsi="仿宋" w:eastAsia="仿宋" w:cs="仿宋"/>
          <w:b/>
          <w:bCs/>
          <w:i w:val="0"/>
          <w:iCs w:val="0"/>
          <w:sz w:val="24"/>
          <w:szCs w:val="24"/>
        </w:rPr>
        <w:t>。</w:t>
      </w:r>
    </w:p>
    <w:p w14:paraId="5C9FEB47">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lang w:eastAsia="zh-CN"/>
        </w:rPr>
        <w:t>（</w:t>
      </w:r>
      <w:r>
        <w:rPr>
          <w:rFonts w:hint="eastAsia" w:ascii="仿宋" w:hAnsi="仿宋" w:eastAsia="仿宋" w:cs="仿宋"/>
          <w:b/>
          <w:bCs/>
          <w:i w:val="0"/>
          <w:iCs w:val="0"/>
          <w:sz w:val="24"/>
          <w:szCs w:val="24"/>
          <w:lang w:val="en-US" w:eastAsia="zh-CN"/>
        </w:rPr>
        <w:t>2</w:t>
      </w:r>
      <w:r>
        <w:rPr>
          <w:rFonts w:hint="eastAsia" w:ascii="仿宋" w:hAnsi="仿宋" w:eastAsia="仿宋" w:cs="仿宋"/>
          <w:b/>
          <w:bCs/>
          <w:i w:val="0"/>
          <w:iCs w:val="0"/>
          <w:sz w:val="24"/>
          <w:szCs w:val="24"/>
          <w:lang w:eastAsia="zh-CN"/>
        </w:rPr>
        <w:t>）</w:t>
      </w:r>
      <w:r>
        <w:rPr>
          <w:rFonts w:hint="eastAsia" w:ascii="仿宋" w:hAnsi="仿宋" w:eastAsia="仿宋" w:cs="仿宋"/>
          <w:b/>
          <w:bCs/>
          <w:i w:val="0"/>
          <w:iCs w:val="0"/>
          <w:sz w:val="24"/>
          <w:szCs w:val="24"/>
        </w:rPr>
        <w:t>与我方存在控股、管理关系的其他单位的名称：</w:t>
      </w:r>
    </w:p>
    <w:p w14:paraId="5474FE17">
      <w:pPr>
        <w:keepNext w:val="0"/>
        <w:keepLines w:val="0"/>
        <w:pageBreakBefore w:val="0"/>
        <w:widowControl w:val="0"/>
        <w:kinsoku/>
        <w:wordWrap/>
        <w:overflowPunct/>
        <w:topLinePunct w:val="0"/>
        <w:autoSpaceDE/>
        <w:autoSpaceDN/>
        <w:bidi w:val="0"/>
        <w:adjustRightInd/>
        <w:snapToGrid/>
        <w:spacing w:line="360" w:lineRule="auto"/>
        <w:ind w:left="399" w:leftChars="190" w:firstLine="482" w:firstLineChars="200"/>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lang w:eastAsia="zh-CN"/>
        </w:rPr>
        <w:t>□</w:t>
      </w:r>
      <w:r>
        <w:rPr>
          <w:rFonts w:hint="eastAsia" w:ascii="仿宋" w:hAnsi="仿宋" w:eastAsia="仿宋" w:cs="仿宋"/>
          <w:b/>
          <w:bCs/>
          <w:i w:val="0"/>
          <w:iCs w:val="0"/>
          <w:sz w:val="24"/>
          <w:szCs w:val="24"/>
        </w:rPr>
        <w:t xml:space="preserve">无；□有，具体单位名称为： </w:t>
      </w:r>
      <w:r>
        <w:rPr>
          <w:rFonts w:hint="eastAsia" w:ascii="仿宋" w:hAnsi="仿宋" w:eastAsia="仿宋" w:cs="仿宋"/>
          <w:b/>
          <w:bCs/>
          <w:i w:val="0"/>
          <w:iCs w:val="0"/>
          <w:sz w:val="24"/>
          <w:szCs w:val="24"/>
          <w:u w:val="single"/>
        </w:rPr>
        <w:t>（由投标人如实填写）</w:t>
      </w:r>
      <w:r>
        <w:rPr>
          <w:rFonts w:hint="eastAsia" w:ascii="仿宋" w:hAnsi="仿宋" w:eastAsia="仿宋" w:cs="仿宋"/>
          <w:b/>
          <w:bCs/>
          <w:i w:val="0"/>
          <w:iCs w:val="0"/>
          <w:sz w:val="24"/>
          <w:szCs w:val="24"/>
        </w:rPr>
        <w:t>。</w:t>
      </w:r>
    </w:p>
    <w:p w14:paraId="3906513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lang w:eastAsia="zh-CN"/>
        </w:rPr>
        <w:t>（</w:t>
      </w:r>
      <w:r>
        <w:rPr>
          <w:rFonts w:hint="eastAsia" w:ascii="仿宋" w:hAnsi="仿宋" w:eastAsia="仿宋" w:cs="仿宋"/>
          <w:b/>
          <w:bCs/>
          <w:i w:val="0"/>
          <w:iCs w:val="0"/>
          <w:sz w:val="24"/>
          <w:szCs w:val="24"/>
          <w:lang w:val="en-US" w:eastAsia="zh-CN"/>
        </w:rPr>
        <w:t>3</w:t>
      </w:r>
      <w:r>
        <w:rPr>
          <w:rFonts w:hint="eastAsia" w:ascii="仿宋" w:hAnsi="仿宋" w:eastAsia="仿宋" w:cs="仿宋"/>
          <w:b/>
          <w:bCs/>
          <w:i w:val="0"/>
          <w:iCs w:val="0"/>
          <w:sz w:val="24"/>
          <w:szCs w:val="24"/>
          <w:lang w:eastAsia="zh-CN"/>
        </w:rPr>
        <w:t>）</w:t>
      </w:r>
      <w:r>
        <w:rPr>
          <w:rFonts w:hint="eastAsia" w:ascii="仿宋" w:hAnsi="仿宋" w:eastAsia="仿宋" w:cs="仿宋"/>
          <w:b/>
          <w:bCs/>
          <w:i w:val="0"/>
          <w:iCs w:val="0"/>
          <w:sz w:val="24"/>
          <w:szCs w:val="24"/>
        </w:rPr>
        <w:t>参与本项目采购活动前，是否为本项目前期准备提供过整体设计、规范编制或者项目管理、监理、检测等服务：</w:t>
      </w:r>
    </w:p>
    <w:p w14:paraId="34BB7469">
      <w:pPr>
        <w:keepNext w:val="0"/>
        <w:keepLines w:val="0"/>
        <w:pageBreakBefore w:val="0"/>
        <w:widowControl w:val="0"/>
        <w:kinsoku/>
        <w:wordWrap/>
        <w:overflowPunct/>
        <w:topLinePunct w:val="0"/>
        <w:autoSpaceDE/>
        <w:autoSpaceDN/>
        <w:bidi w:val="0"/>
        <w:adjustRightInd/>
        <w:snapToGrid/>
        <w:spacing w:line="360" w:lineRule="auto"/>
        <w:ind w:left="399" w:leftChars="190" w:firstLine="482" w:firstLineChars="200"/>
        <w:textAlignment w:val="auto"/>
        <w:rPr>
          <w:rFonts w:hint="eastAsia" w:ascii="仿宋" w:hAnsi="仿宋" w:eastAsia="仿宋" w:cs="仿宋"/>
          <w:b/>
          <w:bCs/>
          <w:i w:val="0"/>
          <w:iCs w:val="0"/>
          <w:sz w:val="24"/>
          <w:szCs w:val="24"/>
        </w:rPr>
      </w:pPr>
      <w:r>
        <w:rPr>
          <w:rFonts w:hint="eastAsia" w:ascii="仿宋" w:hAnsi="仿宋" w:eastAsia="仿宋" w:cs="仿宋"/>
          <w:b/>
          <w:bCs/>
          <w:i w:val="0"/>
          <w:iCs w:val="0"/>
          <w:sz w:val="24"/>
          <w:szCs w:val="24"/>
          <w:lang w:eastAsia="zh-CN"/>
        </w:rPr>
        <w:t>□</w:t>
      </w:r>
      <w:r>
        <w:rPr>
          <w:rFonts w:hint="eastAsia" w:ascii="仿宋" w:hAnsi="仿宋" w:eastAsia="仿宋" w:cs="仿宋"/>
          <w:b/>
          <w:bCs/>
          <w:i w:val="0"/>
          <w:iCs w:val="0"/>
          <w:sz w:val="24"/>
          <w:szCs w:val="24"/>
        </w:rPr>
        <w:t xml:space="preserve">无；□有，已提供的具体服务内容为： </w:t>
      </w:r>
      <w:r>
        <w:rPr>
          <w:rFonts w:hint="eastAsia" w:ascii="仿宋" w:hAnsi="仿宋" w:eastAsia="仿宋" w:cs="仿宋"/>
          <w:b/>
          <w:bCs/>
          <w:i w:val="0"/>
          <w:iCs w:val="0"/>
          <w:sz w:val="24"/>
          <w:szCs w:val="24"/>
          <w:u w:val="single"/>
        </w:rPr>
        <w:t>（由投标人如实填写）</w:t>
      </w:r>
      <w:r>
        <w:rPr>
          <w:rFonts w:hint="eastAsia" w:ascii="仿宋" w:hAnsi="仿宋" w:eastAsia="仿宋" w:cs="仿宋"/>
          <w:b/>
          <w:bCs/>
          <w:i w:val="0"/>
          <w:iCs w:val="0"/>
          <w:sz w:val="24"/>
          <w:szCs w:val="24"/>
        </w:rPr>
        <w:t>。</w:t>
      </w:r>
    </w:p>
    <w:p w14:paraId="0D815463">
      <w:pPr>
        <w:keepNext w:val="0"/>
        <w:keepLines w:val="0"/>
        <w:pageBreakBefore w:val="0"/>
        <w:widowControl w:val="0"/>
        <w:kinsoku/>
        <w:wordWrap/>
        <w:overflowPunct/>
        <w:topLinePunct w:val="0"/>
        <w:autoSpaceDE/>
        <w:autoSpaceDN/>
        <w:bidi w:val="0"/>
        <w:adjustRightInd/>
        <w:snapToGrid/>
        <w:spacing w:line="360" w:lineRule="auto"/>
        <w:ind w:left="630" w:leftChars="300" w:firstLine="480" w:firstLineChars="200"/>
        <w:textAlignment w:val="auto"/>
        <w:rPr>
          <w:rFonts w:hint="eastAsia" w:ascii="仿宋" w:hAnsi="仿宋" w:eastAsia="仿宋" w:cs="仿宋"/>
          <w:sz w:val="24"/>
          <w:szCs w:val="24"/>
        </w:rPr>
      </w:pPr>
      <w:r>
        <w:rPr>
          <w:rFonts w:hint="eastAsia" w:ascii="仿宋" w:hAnsi="仿宋" w:eastAsia="仿宋" w:cs="仿宋"/>
          <w:i w:val="0"/>
          <w:iCs w:val="0"/>
          <w:sz w:val="24"/>
          <w:szCs w:val="24"/>
        </w:rPr>
        <w:t>（备注：以上3项声明，必须如实选择，选中项用</w:t>
      </w:r>
      <w:r>
        <w:rPr>
          <w:rFonts w:hint="eastAsia" w:ascii="仿宋" w:hAnsi="仿宋" w:eastAsia="仿宋" w:cs="仿宋"/>
          <w:i w:val="0"/>
          <w:iCs w:val="0"/>
          <w:sz w:val="24"/>
          <w:szCs w:val="24"/>
          <w:lang w:eastAsia="zh-CN"/>
        </w:rPr>
        <w:t>☑</w:t>
      </w:r>
      <w:r>
        <w:rPr>
          <w:rFonts w:hint="eastAsia" w:ascii="仿宋" w:hAnsi="仿宋" w:eastAsia="仿宋" w:cs="仿宋"/>
          <w:i w:val="0"/>
          <w:iCs w:val="0"/>
          <w:sz w:val="24"/>
          <w:szCs w:val="24"/>
        </w:rPr>
        <w:t>表示，未选中项用</w:t>
      </w:r>
      <w:r>
        <w:rPr>
          <w:rFonts w:hint="eastAsia" w:ascii="仿宋" w:hAnsi="仿宋" w:eastAsia="仿宋" w:cs="仿宋"/>
          <w:i w:val="0"/>
          <w:iCs w:val="0"/>
          <w:sz w:val="24"/>
          <w:szCs w:val="24"/>
          <w:lang w:eastAsia="zh-CN"/>
        </w:rPr>
        <w:t>□</w:t>
      </w:r>
      <w:r>
        <w:rPr>
          <w:rFonts w:hint="eastAsia" w:ascii="仿宋" w:hAnsi="仿宋" w:eastAsia="仿宋" w:cs="仿宋"/>
          <w:i w:val="0"/>
          <w:iCs w:val="0"/>
          <w:sz w:val="24"/>
          <w:szCs w:val="24"/>
        </w:rPr>
        <w:t>表示。①“单位负责人”是指单位法定代表人或者法律、行政法规规定代表单位行使</w:t>
      </w:r>
      <w:r>
        <w:rPr>
          <w:rFonts w:hint="eastAsia" w:ascii="仿宋" w:hAnsi="仿宋" w:eastAsia="仿宋" w:cs="仿宋"/>
          <w:sz w:val="24"/>
          <w:szCs w:val="24"/>
        </w:rPr>
        <w:t>职权的主要负责人。②本条所规定的控股、管理关系仅限于直接控股、直接管理关系，不包括间接的控股或管理关系。③供应商如未如实填报，视为提供虚假材料谋取中标，应承担相应法律责任。）</w:t>
      </w:r>
    </w:p>
    <w:p w14:paraId="1F3BEA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hint="eastAsia" w:ascii="仿宋" w:hAnsi="仿宋" w:eastAsia="仿宋" w:cs="仿宋"/>
          <w:sz w:val="24"/>
          <w:szCs w:val="24"/>
        </w:rPr>
        <w:t>我方在本投标文件中所提供的全部资料均真实有效，我方承诺对其真实性负责并承担相应后果。</w:t>
      </w:r>
    </w:p>
    <w:p w14:paraId="5CDD73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bookmarkStart w:id="309" w:name="_Hlk161604053"/>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w:t>
      </w:r>
      <w:r>
        <w:rPr>
          <w:rFonts w:hint="eastAsia" w:ascii="仿宋" w:hAnsi="仿宋" w:eastAsia="仿宋" w:cs="仿宋"/>
          <w:sz w:val="24"/>
          <w:szCs w:val="24"/>
        </w:rPr>
        <w:t>我方承诺本《投标函》的签章对本投标文件全部内容具有约束力并承担法律责任。</w:t>
      </w:r>
      <w:bookmarkEnd w:id="309"/>
    </w:p>
    <w:p w14:paraId="1FB47B0E">
      <w:pPr>
        <w:keepNext w:val="0"/>
        <w:keepLines w:val="0"/>
        <w:pageBreakBefore w:val="0"/>
        <w:widowControl w:val="0"/>
        <w:kinsoku/>
        <w:wordWrap/>
        <w:overflowPunct/>
        <w:topLinePunct w:val="0"/>
        <w:bidi w:val="0"/>
        <w:snapToGrid/>
        <w:spacing w:line="360" w:lineRule="auto"/>
        <w:textAlignment w:val="auto"/>
        <w:rPr>
          <w:rFonts w:hint="eastAsia" w:ascii="仿宋" w:hAnsi="仿宋" w:eastAsia="仿宋" w:cs="仿宋"/>
          <w:sz w:val="24"/>
          <w:szCs w:val="24"/>
        </w:rPr>
      </w:pPr>
    </w:p>
    <w:p w14:paraId="13EE6FDE">
      <w:pPr>
        <w:keepNext w:val="0"/>
        <w:keepLines w:val="0"/>
        <w:pageBreakBefore w:val="0"/>
        <w:widowControl w:val="0"/>
        <w:kinsoku/>
        <w:wordWrap/>
        <w:overflowPunct/>
        <w:topLinePunct w:val="0"/>
        <w:bidi w:val="0"/>
        <w:snapToGrid/>
        <w:spacing w:line="360" w:lineRule="auto"/>
        <w:textAlignment w:val="auto"/>
        <w:rPr>
          <w:rFonts w:hint="eastAsia" w:ascii="仿宋" w:hAnsi="仿宋" w:eastAsia="仿宋" w:cs="仿宋"/>
          <w:sz w:val="24"/>
          <w:szCs w:val="24"/>
        </w:rPr>
      </w:pPr>
    </w:p>
    <w:p w14:paraId="56574155">
      <w:pPr>
        <w:keepNext w:val="0"/>
        <w:keepLines w:val="0"/>
        <w:pageBreakBefore w:val="0"/>
        <w:widowControl w:val="0"/>
        <w:kinsoku/>
        <w:wordWrap/>
        <w:overflowPunct/>
        <w:topLinePunct w:val="0"/>
        <w:bidi w:val="0"/>
        <w:snapToGrid/>
        <w:spacing w:line="360" w:lineRule="auto"/>
        <w:textAlignment w:val="auto"/>
        <w:rPr>
          <w:rFonts w:hint="eastAsia" w:ascii="仿宋" w:hAnsi="仿宋" w:eastAsia="仿宋" w:cs="仿宋"/>
          <w:sz w:val="24"/>
          <w:szCs w:val="24"/>
        </w:rPr>
      </w:pPr>
    </w:p>
    <w:p w14:paraId="4D5BFAC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投    标    人：（公章）</w:t>
      </w:r>
    </w:p>
    <w:p w14:paraId="53EC8EA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通  讯  地  址：</w:t>
      </w:r>
    </w:p>
    <w:p w14:paraId="48BCCB0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传          真：</w:t>
      </w:r>
    </w:p>
    <w:p w14:paraId="17C1161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电          话：</w:t>
      </w:r>
    </w:p>
    <w:p w14:paraId="0C415A6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rPr>
        <w:t>法定代表人或委托代理人(签字或签章)</w:t>
      </w:r>
      <w:r>
        <w:rPr>
          <w:rFonts w:hint="eastAsia" w:ascii="仿宋" w:hAnsi="仿宋" w:eastAsia="仿宋" w:cs="仿宋"/>
          <w:sz w:val="24"/>
          <w:szCs w:val="24"/>
        </w:rPr>
        <w:t>：</w:t>
      </w:r>
    </w:p>
    <w:p w14:paraId="28A17EC8">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日           期：</w:t>
      </w:r>
    </w:p>
    <w:p w14:paraId="686A59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rPr>
      </w:pPr>
    </w:p>
    <w:p w14:paraId="01471110">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color w:val="000000"/>
          <w:sz w:val="24"/>
          <w:szCs w:val="24"/>
        </w:rPr>
      </w:pPr>
    </w:p>
    <w:p w14:paraId="1A566EF1">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color w:val="000000"/>
          <w:sz w:val="24"/>
          <w:szCs w:val="24"/>
        </w:rPr>
      </w:pPr>
    </w:p>
    <w:p w14:paraId="4D0313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eastAsia="zh-CN"/>
        </w:rPr>
      </w:pPr>
      <w:bookmarkStart w:id="310" w:name="_Toc8258"/>
      <w:bookmarkStart w:id="311" w:name="_Toc249080563"/>
      <w:r>
        <w:rPr>
          <w:rFonts w:hint="eastAsia" w:ascii="仿宋" w:hAnsi="仿宋" w:eastAsia="仿宋" w:cs="仿宋"/>
          <w:sz w:val="24"/>
          <w:szCs w:val="24"/>
          <w:lang w:val="zh-CN" w:eastAsia="zh-CN"/>
        </w:rPr>
        <w:br w:type="page"/>
      </w:r>
    </w:p>
    <w:p w14:paraId="0E2B1FE6">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12" w:name="_Toc26124"/>
      <w:r>
        <w:rPr>
          <w:rFonts w:hint="eastAsia" w:ascii="仿宋" w:hAnsi="仿宋" w:eastAsia="仿宋" w:cs="仿宋"/>
          <w:sz w:val="32"/>
          <w:szCs w:val="32"/>
          <w:lang w:val="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val="zh-CN"/>
        </w:rPr>
        <w:t>）投标一览表</w:t>
      </w:r>
      <w:bookmarkEnd w:id="310"/>
      <w:bookmarkEnd w:id="312"/>
    </w:p>
    <w:p w14:paraId="789F54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szCs w:val="24"/>
          <w:lang w:val="zh-CN"/>
        </w:rPr>
      </w:pPr>
      <w:r>
        <w:rPr>
          <w:rFonts w:hint="eastAsia" w:ascii="仿宋" w:hAnsi="仿宋" w:eastAsia="仿宋" w:cs="仿宋"/>
          <w:b/>
          <w:sz w:val="24"/>
          <w:szCs w:val="24"/>
          <w:lang w:val="zh-CN"/>
        </w:rPr>
        <w:t>项目名称：</w:t>
      </w:r>
      <w:r>
        <w:rPr>
          <w:rFonts w:hint="eastAsia" w:ascii="仿宋" w:hAnsi="仿宋" w:eastAsia="仿宋" w:cs="仿宋"/>
          <w:b/>
          <w:sz w:val="24"/>
          <w:szCs w:val="24"/>
          <w:u w:val="single"/>
          <w:lang w:val="zh-CN"/>
        </w:rPr>
        <w:t xml:space="preserve">                     </w:t>
      </w:r>
    </w:p>
    <w:p w14:paraId="4F5424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szCs w:val="24"/>
          <w:u w:val="single"/>
          <w:lang w:val="zh-CN"/>
        </w:rPr>
      </w:pPr>
      <w:r>
        <w:rPr>
          <w:rFonts w:hint="eastAsia" w:ascii="仿宋" w:hAnsi="仿宋" w:eastAsia="仿宋" w:cs="仿宋"/>
          <w:b/>
          <w:sz w:val="24"/>
          <w:szCs w:val="24"/>
          <w:lang w:val="zh-CN"/>
        </w:rPr>
        <w:t>项目编号：</w:t>
      </w:r>
      <w:r>
        <w:rPr>
          <w:rFonts w:hint="eastAsia" w:ascii="仿宋" w:hAnsi="仿宋" w:eastAsia="仿宋" w:cs="仿宋"/>
          <w:b/>
          <w:sz w:val="24"/>
          <w:szCs w:val="24"/>
          <w:u w:val="single"/>
          <w:lang w:val="zh-CN"/>
        </w:rPr>
        <w:t xml:space="preserve">                     </w:t>
      </w:r>
      <w:r>
        <w:rPr>
          <w:rFonts w:hint="eastAsia" w:ascii="仿宋" w:hAnsi="仿宋" w:eastAsia="仿宋" w:cs="仿宋"/>
          <w:b/>
          <w:sz w:val="24"/>
          <w:szCs w:val="24"/>
          <w:lang w:val="zh-CN"/>
        </w:rPr>
        <w:t xml:space="preserve">     </w:t>
      </w:r>
      <w:r>
        <w:rPr>
          <w:rFonts w:hint="eastAsia" w:ascii="仿宋" w:hAnsi="仿宋" w:eastAsia="仿宋" w:cs="仿宋"/>
          <w:b/>
          <w:bCs/>
          <w:sz w:val="24"/>
          <w:szCs w:val="24"/>
          <w:lang w:val="zh-CN"/>
        </w:rPr>
        <w:t xml:space="preserve">  所投包号：</w:t>
      </w:r>
      <w:r>
        <w:rPr>
          <w:rFonts w:hint="eastAsia" w:ascii="仿宋" w:hAnsi="仿宋" w:eastAsia="仿宋" w:cs="仿宋"/>
          <w:b/>
          <w:bCs/>
          <w:sz w:val="24"/>
          <w:szCs w:val="24"/>
          <w:u w:val="single"/>
          <w:lang w:val="zh-CN"/>
        </w:rPr>
        <w:t xml:space="preserve">           </w:t>
      </w:r>
    </w:p>
    <w:tbl>
      <w:tblPr>
        <w:tblStyle w:val="4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2461"/>
        <w:gridCol w:w="5306"/>
      </w:tblGrid>
      <w:tr w14:paraId="68D5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tblHeader/>
        </w:trPr>
        <w:tc>
          <w:tcPr>
            <w:tcW w:w="442" w:type="pct"/>
            <w:shd w:val="clear" w:color="auto" w:fill="BEBEBE"/>
            <w:noWrap w:val="0"/>
            <w:vAlign w:val="center"/>
          </w:tcPr>
          <w:p w14:paraId="335A0FB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1444" w:type="pct"/>
            <w:shd w:val="clear" w:color="auto" w:fill="BEBEBE"/>
            <w:noWrap w:val="0"/>
            <w:vAlign w:val="center"/>
          </w:tcPr>
          <w:p w14:paraId="4E4C03BA">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lang w:val="en-US" w:eastAsia="zh-CN"/>
              </w:rPr>
            </w:pPr>
            <w:r>
              <w:rPr>
                <w:rFonts w:hint="eastAsia" w:ascii="仿宋" w:hAnsi="仿宋" w:eastAsia="仿宋" w:cs="仿宋"/>
                <w:b/>
                <w:bCs/>
                <w:color w:val="auto"/>
                <w:sz w:val="24"/>
              </w:rPr>
              <w:t>项目</w:t>
            </w:r>
            <w:r>
              <w:rPr>
                <w:rFonts w:hint="eastAsia" w:ascii="仿宋" w:hAnsi="仿宋" w:eastAsia="仿宋" w:cs="仿宋"/>
                <w:b/>
                <w:bCs/>
                <w:color w:val="auto"/>
                <w:sz w:val="24"/>
                <w:lang w:val="en-US" w:eastAsia="zh-CN"/>
              </w:rPr>
              <w:t>内容</w:t>
            </w:r>
          </w:p>
        </w:tc>
        <w:tc>
          <w:tcPr>
            <w:tcW w:w="3112" w:type="pct"/>
            <w:shd w:val="clear" w:color="auto" w:fill="BEBEBE"/>
            <w:noWrap w:val="0"/>
            <w:vAlign w:val="center"/>
          </w:tcPr>
          <w:p w14:paraId="6FA5A43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约定内容</w:t>
            </w:r>
          </w:p>
        </w:tc>
      </w:tr>
      <w:tr w14:paraId="17E5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442" w:type="pct"/>
            <w:noWrap w:val="0"/>
            <w:vAlign w:val="center"/>
          </w:tcPr>
          <w:p w14:paraId="10FFD22F">
            <w:pPr>
              <w:keepNext w:val="0"/>
              <w:keepLines w:val="0"/>
              <w:pageBreakBefore w:val="0"/>
              <w:widowControl w:val="0"/>
              <w:tabs>
                <w:tab w:val="left" w:pos="522"/>
              </w:tabs>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1</w:t>
            </w:r>
          </w:p>
        </w:tc>
        <w:tc>
          <w:tcPr>
            <w:tcW w:w="1444" w:type="pct"/>
            <w:noWrap w:val="0"/>
            <w:vAlign w:val="center"/>
          </w:tcPr>
          <w:p w14:paraId="27795D6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交货期</w:t>
            </w:r>
          </w:p>
        </w:tc>
        <w:tc>
          <w:tcPr>
            <w:tcW w:w="3112" w:type="pct"/>
            <w:noWrap w:val="0"/>
            <w:vAlign w:val="center"/>
          </w:tcPr>
          <w:p w14:paraId="2CF46F30">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sz w:val="24"/>
              </w:rPr>
            </w:pPr>
          </w:p>
        </w:tc>
      </w:tr>
      <w:tr w14:paraId="7B12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442" w:type="pct"/>
            <w:noWrap w:val="0"/>
            <w:vAlign w:val="center"/>
          </w:tcPr>
          <w:p w14:paraId="236E5DB7">
            <w:pPr>
              <w:keepNext w:val="0"/>
              <w:keepLines w:val="0"/>
              <w:pageBreakBefore w:val="0"/>
              <w:widowControl w:val="0"/>
              <w:tabs>
                <w:tab w:val="left" w:pos="522"/>
              </w:tabs>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2</w:t>
            </w:r>
          </w:p>
        </w:tc>
        <w:tc>
          <w:tcPr>
            <w:tcW w:w="1444" w:type="pct"/>
            <w:noWrap w:val="0"/>
            <w:vAlign w:val="center"/>
          </w:tcPr>
          <w:p w14:paraId="20EF9423">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提货券有效期</w:t>
            </w:r>
          </w:p>
        </w:tc>
        <w:tc>
          <w:tcPr>
            <w:tcW w:w="3112" w:type="pct"/>
            <w:noWrap w:val="0"/>
            <w:vAlign w:val="center"/>
          </w:tcPr>
          <w:p w14:paraId="5778A1E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sz w:val="24"/>
              </w:rPr>
            </w:pPr>
          </w:p>
        </w:tc>
      </w:tr>
      <w:tr w14:paraId="5B92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trPr>
        <w:tc>
          <w:tcPr>
            <w:tcW w:w="442" w:type="pct"/>
            <w:noWrap w:val="0"/>
            <w:vAlign w:val="center"/>
          </w:tcPr>
          <w:p w14:paraId="111C0CC9">
            <w:pPr>
              <w:keepNext w:val="0"/>
              <w:keepLines w:val="0"/>
              <w:pageBreakBefore w:val="0"/>
              <w:widowControl w:val="0"/>
              <w:tabs>
                <w:tab w:val="left" w:pos="522"/>
              </w:tabs>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3</w:t>
            </w:r>
          </w:p>
        </w:tc>
        <w:tc>
          <w:tcPr>
            <w:tcW w:w="1444" w:type="pct"/>
            <w:noWrap w:val="0"/>
            <w:vAlign w:val="center"/>
          </w:tcPr>
          <w:p w14:paraId="0485C65D">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质保期</w:t>
            </w:r>
          </w:p>
        </w:tc>
        <w:tc>
          <w:tcPr>
            <w:tcW w:w="3112" w:type="pct"/>
            <w:noWrap w:val="0"/>
            <w:vAlign w:val="center"/>
          </w:tcPr>
          <w:p w14:paraId="61DA1765">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sz w:val="24"/>
              </w:rPr>
            </w:pPr>
          </w:p>
        </w:tc>
      </w:tr>
      <w:tr w14:paraId="52CE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trPr>
        <w:tc>
          <w:tcPr>
            <w:tcW w:w="442" w:type="pct"/>
            <w:noWrap w:val="0"/>
            <w:vAlign w:val="center"/>
          </w:tcPr>
          <w:p w14:paraId="3BD85B66">
            <w:pPr>
              <w:keepNext w:val="0"/>
              <w:keepLines w:val="0"/>
              <w:pageBreakBefore w:val="0"/>
              <w:widowControl w:val="0"/>
              <w:tabs>
                <w:tab w:val="left" w:pos="522"/>
              </w:tabs>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4</w:t>
            </w:r>
          </w:p>
        </w:tc>
        <w:tc>
          <w:tcPr>
            <w:tcW w:w="1444" w:type="pct"/>
            <w:noWrap w:val="0"/>
            <w:vAlign w:val="center"/>
          </w:tcPr>
          <w:p w14:paraId="32BF07E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提货券面值</w:t>
            </w:r>
          </w:p>
        </w:tc>
        <w:tc>
          <w:tcPr>
            <w:tcW w:w="3112" w:type="pct"/>
            <w:noWrap w:val="0"/>
            <w:vAlign w:val="center"/>
          </w:tcPr>
          <w:p w14:paraId="2734FD52">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元/人</w:t>
            </w:r>
          </w:p>
        </w:tc>
      </w:tr>
      <w:tr w14:paraId="666D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trPr>
        <w:tc>
          <w:tcPr>
            <w:tcW w:w="442" w:type="pct"/>
            <w:noWrap w:val="0"/>
            <w:vAlign w:val="center"/>
          </w:tcPr>
          <w:p w14:paraId="5E382AB5">
            <w:pPr>
              <w:keepNext w:val="0"/>
              <w:keepLines w:val="0"/>
              <w:pageBreakBefore w:val="0"/>
              <w:widowControl w:val="0"/>
              <w:tabs>
                <w:tab w:val="left" w:pos="522"/>
              </w:tabs>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5</w:t>
            </w:r>
          </w:p>
        </w:tc>
        <w:tc>
          <w:tcPr>
            <w:tcW w:w="1444" w:type="pct"/>
            <w:noWrap w:val="0"/>
            <w:vAlign w:val="center"/>
          </w:tcPr>
          <w:p w14:paraId="6468D0B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投标报价（折扣）</w:t>
            </w:r>
          </w:p>
        </w:tc>
        <w:tc>
          <w:tcPr>
            <w:tcW w:w="3112" w:type="pct"/>
            <w:noWrap w:val="0"/>
            <w:vAlign w:val="center"/>
          </w:tcPr>
          <w:p w14:paraId="3634C136">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 w:hAnsi="仿宋" w:eastAsia="仿宋" w:cs="仿宋"/>
                <w:color w:val="auto"/>
                <w:sz w:val="24"/>
                <w:u w:val="none"/>
                <w:lang w:val="en-US" w:eastAsia="zh-CN"/>
              </w:rPr>
            </w:pPr>
            <w:r>
              <w:rPr>
                <w:rFonts w:hint="eastAsia" w:ascii="仿宋" w:hAnsi="仿宋" w:eastAsia="仿宋" w:cs="仿宋"/>
                <w:color w:val="auto"/>
                <w:sz w:val="24"/>
                <w:u w:val="none"/>
                <w:lang w:val="en-US" w:eastAsia="zh-CN"/>
              </w:rPr>
              <w:t>%</w:t>
            </w:r>
          </w:p>
        </w:tc>
      </w:tr>
    </w:tbl>
    <w:p w14:paraId="7D7FBD0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p>
    <w:p w14:paraId="71AB36C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rPr>
      </w:pPr>
      <w:r>
        <w:rPr>
          <w:rFonts w:hint="eastAsia" w:ascii="仿宋" w:hAnsi="仿宋" w:eastAsia="仿宋" w:cs="仿宋"/>
          <w:b/>
          <w:bCs/>
          <w:sz w:val="24"/>
          <w:szCs w:val="32"/>
        </w:rPr>
        <w:t>说明：</w:t>
      </w:r>
    </w:p>
    <w:p w14:paraId="1CA53C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.投标人的</w:t>
      </w:r>
      <w:r>
        <w:rPr>
          <w:rFonts w:hint="eastAsia" w:ascii="仿宋" w:hAnsi="仿宋" w:eastAsia="仿宋" w:cs="仿宋"/>
          <w:color w:val="auto"/>
          <w:sz w:val="24"/>
          <w:lang w:val="en-US" w:eastAsia="zh-CN"/>
        </w:rPr>
        <w:t>投标报价</w:t>
      </w:r>
      <w:r>
        <w:rPr>
          <w:rFonts w:hint="eastAsia" w:ascii="仿宋" w:hAnsi="仿宋" w:eastAsia="仿宋" w:cs="仿宋"/>
          <w:color w:val="auto"/>
          <w:sz w:val="24"/>
        </w:rPr>
        <w:t>应为完成项目的所有费用之和。</w:t>
      </w:r>
    </w:p>
    <w:p w14:paraId="0344006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.此表除保留在投标文件中外、《投标一览表》两份、《法定代表人身份证明书》一份、《法定代表人授权委托书》一份及投标文件电子版本（U盘储存）一份密封装在一个小信封中，作为唱标之用。</w:t>
      </w:r>
    </w:p>
    <w:p w14:paraId="725287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p>
    <w:p w14:paraId="49D74A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p>
    <w:p w14:paraId="296F1E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投标人</w:t>
      </w:r>
      <w:r>
        <w:rPr>
          <w:rFonts w:hint="eastAsia" w:ascii="仿宋" w:hAnsi="仿宋" w:eastAsia="仿宋" w:cs="仿宋"/>
          <w:sz w:val="24"/>
          <w:szCs w:val="32"/>
        </w:rPr>
        <w:t xml:space="preserve">名称（盖章）：                       </w:t>
      </w:r>
    </w:p>
    <w:p w14:paraId="20C782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 xml:space="preserve">法定代表人或委托代理人(签字或签章)：         </w:t>
      </w:r>
    </w:p>
    <w:p w14:paraId="152F32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 xml:space="preserve">日  期：                                   </w:t>
      </w:r>
    </w:p>
    <w:p w14:paraId="4C98E4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32"/>
        </w:rPr>
      </w:pPr>
    </w:p>
    <w:p w14:paraId="6B2473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32"/>
        </w:rPr>
      </w:pPr>
    </w:p>
    <w:bookmarkEnd w:id="311"/>
    <w:p w14:paraId="20A9BF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32"/>
        </w:rPr>
      </w:pPr>
      <w:bookmarkStart w:id="313" w:name="_Toc20171"/>
      <w:r>
        <w:rPr>
          <w:rFonts w:hint="eastAsia" w:ascii="仿宋" w:hAnsi="仿宋" w:eastAsia="仿宋" w:cs="仿宋"/>
          <w:color w:val="000000"/>
          <w:sz w:val="24"/>
          <w:szCs w:val="24"/>
          <w:lang w:val="zh-CN" w:eastAsia="zh-CN"/>
        </w:rPr>
        <w:br w:type="page"/>
      </w:r>
      <w:bookmarkEnd w:id="313"/>
    </w:p>
    <w:p w14:paraId="0FC56B7B">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14" w:name="_Toc3618"/>
      <w:bookmarkStart w:id="315" w:name="_Toc17097"/>
      <w:bookmarkStart w:id="316" w:name="_Toc249080569"/>
      <w:r>
        <w:rPr>
          <w:rFonts w:hint="eastAsia" w:ascii="仿宋" w:hAnsi="仿宋" w:eastAsia="仿宋" w:cs="仿宋"/>
          <w:sz w:val="32"/>
          <w:szCs w:val="32"/>
          <w:lang w:val="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val="zh-CN"/>
        </w:rPr>
        <w:t>）</w:t>
      </w:r>
      <w:bookmarkEnd w:id="314"/>
      <w:bookmarkStart w:id="317" w:name="_Toc163492918"/>
      <w:bookmarkStart w:id="318" w:name="_Toc155185924"/>
      <w:r>
        <w:rPr>
          <w:rFonts w:hint="eastAsia" w:ascii="仿宋" w:hAnsi="仿宋" w:eastAsia="仿宋" w:cs="仿宋"/>
          <w:sz w:val="32"/>
          <w:szCs w:val="32"/>
          <w:lang w:val="zh-CN"/>
        </w:rPr>
        <w:t>法定代表人（负责人）身份证明</w:t>
      </w:r>
      <w:bookmarkEnd w:id="315"/>
      <w:bookmarkEnd w:id="317"/>
      <w:bookmarkEnd w:id="318"/>
    </w:p>
    <w:bookmarkEnd w:id="316"/>
    <w:p w14:paraId="7AFED14F">
      <w:pPr>
        <w:keepNext w:val="0"/>
        <w:keepLines w:val="0"/>
        <w:pageBreakBefore w:val="0"/>
        <w:widowControl w:val="0"/>
        <w:kinsoku/>
        <w:wordWrap/>
        <w:overflowPunct/>
        <w:topLinePunct w:val="0"/>
        <w:autoSpaceDE/>
        <w:autoSpaceDN/>
        <w:bidi w:val="0"/>
        <w:spacing w:line="360" w:lineRule="auto"/>
        <w:jc w:val="left"/>
        <w:textAlignment w:val="auto"/>
        <w:rPr>
          <w:rFonts w:ascii="仿宋" w:hAnsi="仿宋" w:eastAsia="仿宋" w:cs="仿宋"/>
          <w:color w:val="000000"/>
          <w:sz w:val="24"/>
        </w:rPr>
      </w:pPr>
      <w:bookmarkStart w:id="319" w:name="_Toc29214"/>
    </w:p>
    <w:p w14:paraId="6CBD06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投标人名称：</w:t>
      </w:r>
    </w:p>
    <w:p w14:paraId="7312E8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单位性质：</w:t>
      </w:r>
    </w:p>
    <w:p w14:paraId="5794AA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地    址：</w:t>
      </w:r>
    </w:p>
    <w:p w14:paraId="63BA4C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成立时间：</w:t>
      </w:r>
    </w:p>
    <w:p w14:paraId="3DD7DF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经营期限：</w:t>
      </w:r>
    </w:p>
    <w:p w14:paraId="08B302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姓    名：                性别：</w:t>
      </w:r>
    </w:p>
    <w:p w14:paraId="6A4135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年龄：                    职务：</w:t>
      </w:r>
    </w:p>
    <w:p w14:paraId="786F56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系                      （投标人名称）的法定代表人（负责人）。</w:t>
      </w:r>
    </w:p>
    <w:p w14:paraId="2243E1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特此证明。</w:t>
      </w:r>
    </w:p>
    <w:p w14:paraId="1BAA8B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p>
    <w:p w14:paraId="3DB377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p>
    <w:p w14:paraId="315FC1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投标人名称：（盖章）</w:t>
      </w:r>
    </w:p>
    <w:p w14:paraId="0D6145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日      期：   年  月  日</w:t>
      </w:r>
    </w:p>
    <w:p w14:paraId="18CF9BE0">
      <w:pPr>
        <w:keepNext w:val="0"/>
        <w:keepLines w:val="0"/>
        <w:pageBreakBefore w:val="0"/>
        <w:widowControl w:val="0"/>
        <w:kinsoku/>
        <w:wordWrap/>
        <w:overflowPunct/>
        <w:topLinePunct w:val="0"/>
        <w:autoSpaceDE/>
        <w:autoSpaceDN/>
        <w:bidi w:val="0"/>
        <w:spacing w:line="360" w:lineRule="auto"/>
        <w:jc w:val="left"/>
        <w:textAlignment w:val="auto"/>
        <w:rPr>
          <w:rFonts w:ascii="仿宋" w:hAnsi="仿宋" w:eastAsia="仿宋" w:cs="仿宋"/>
          <w:color w:val="000000"/>
          <w:sz w:val="24"/>
        </w:rPr>
      </w:pP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517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5000" w:type="pct"/>
          </w:tcPr>
          <w:p w14:paraId="171D3EE5">
            <w:pPr>
              <w:rPr>
                <w:rFonts w:cs="Arial"/>
              </w:rPr>
            </w:pPr>
            <w:r>
              <w:rPr>
                <w:rFonts w:hint="eastAsia" w:ascii="仿宋" w:hAnsi="仿宋" w:eastAsia="仿宋" w:cs="仿宋"/>
                <w:sz w:val="24"/>
                <w:szCs w:val="32"/>
              </w:rPr>
              <w:t>附：法定代表人（负责人）身份证复印件</w:t>
            </w:r>
          </w:p>
        </w:tc>
      </w:tr>
    </w:tbl>
    <w:p w14:paraId="182031B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32"/>
        </w:rPr>
      </w:pPr>
      <w:r>
        <w:rPr>
          <w:rFonts w:hint="eastAsia" w:ascii="仿宋" w:hAnsi="仿宋" w:eastAsia="仿宋" w:cs="仿宋"/>
          <w:b/>
          <w:bCs/>
          <w:sz w:val="24"/>
          <w:szCs w:val="32"/>
        </w:rPr>
        <w:t>注：法定代表人（负责人）参加投标时提供</w:t>
      </w:r>
    </w:p>
    <w:p w14:paraId="2447A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en-US" w:eastAsia="zh-CN"/>
        </w:rPr>
      </w:pPr>
    </w:p>
    <w:p w14:paraId="711132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zh-CN" w:eastAsia="zh-CN"/>
        </w:rPr>
      </w:pPr>
      <w:r>
        <w:rPr>
          <w:rFonts w:hint="eastAsia" w:ascii="仿宋" w:hAnsi="仿宋" w:eastAsia="仿宋" w:cs="仿宋"/>
          <w:color w:val="000000"/>
          <w:sz w:val="24"/>
          <w:szCs w:val="24"/>
          <w:lang w:val="zh-CN" w:eastAsia="zh-CN"/>
        </w:rPr>
        <w:br w:type="page"/>
      </w:r>
    </w:p>
    <w:p w14:paraId="7409BB42">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20" w:name="_Toc3230"/>
      <w:r>
        <w:rPr>
          <w:rFonts w:hint="eastAsia" w:ascii="仿宋" w:hAnsi="仿宋" w:eastAsia="仿宋" w:cs="仿宋"/>
          <w:sz w:val="32"/>
          <w:szCs w:val="32"/>
          <w:lang w:val="zh-CN"/>
        </w:rPr>
        <w:t>（</w:t>
      </w:r>
      <w:r>
        <w:rPr>
          <w:rFonts w:hint="eastAsia" w:ascii="仿宋" w:hAnsi="仿宋" w:eastAsia="仿宋" w:cs="仿宋"/>
          <w:sz w:val="32"/>
          <w:szCs w:val="32"/>
          <w:lang w:val="en-US" w:eastAsia="zh-CN"/>
        </w:rPr>
        <w:t>四</w:t>
      </w:r>
      <w:r>
        <w:rPr>
          <w:rFonts w:hint="eastAsia" w:ascii="仿宋" w:hAnsi="仿宋" w:eastAsia="仿宋" w:cs="仿宋"/>
          <w:sz w:val="32"/>
          <w:szCs w:val="32"/>
          <w:lang w:val="zh-CN"/>
        </w:rPr>
        <w:t>）</w:t>
      </w:r>
      <w:bookmarkEnd w:id="319"/>
      <w:bookmarkStart w:id="321" w:name="_Toc163492919"/>
      <w:bookmarkStart w:id="322" w:name="_Toc155185925"/>
      <w:r>
        <w:rPr>
          <w:rFonts w:hint="eastAsia" w:ascii="仿宋" w:hAnsi="仿宋" w:eastAsia="仿宋" w:cs="仿宋"/>
          <w:sz w:val="32"/>
          <w:szCs w:val="32"/>
          <w:lang w:val="zh-CN"/>
        </w:rPr>
        <w:t>法定代表人（负责人）授权书</w:t>
      </w:r>
      <w:bookmarkEnd w:id="320"/>
      <w:bookmarkEnd w:id="321"/>
      <w:bookmarkEnd w:id="322"/>
    </w:p>
    <w:p w14:paraId="10429283">
      <w:pPr>
        <w:keepNext w:val="0"/>
        <w:keepLines w:val="0"/>
        <w:pageBreakBefore w:val="0"/>
        <w:widowControl w:val="0"/>
        <w:kinsoku/>
        <w:wordWrap/>
        <w:overflowPunct/>
        <w:topLinePunct w:val="0"/>
        <w:autoSpaceDE/>
        <w:autoSpaceDN/>
        <w:bidi w:val="0"/>
        <w:spacing w:line="360" w:lineRule="auto"/>
        <w:jc w:val="left"/>
        <w:textAlignment w:val="auto"/>
        <w:rPr>
          <w:rFonts w:ascii="仿宋" w:hAnsi="仿宋" w:eastAsia="仿宋" w:cs="仿宋"/>
          <w:color w:val="000000"/>
          <w:sz w:val="24"/>
        </w:rPr>
      </w:pPr>
    </w:p>
    <w:p w14:paraId="5FB4AF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本人</w:t>
      </w:r>
      <w:r>
        <w:rPr>
          <w:rFonts w:hint="eastAsia" w:ascii="仿宋" w:hAnsi="仿宋" w:eastAsia="仿宋" w:cs="仿宋"/>
          <w:sz w:val="24"/>
          <w:szCs w:val="24"/>
          <w:u w:val="single"/>
        </w:rPr>
        <w:t xml:space="preserve">     （姓名）</w:t>
      </w:r>
      <w:r>
        <w:rPr>
          <w:rFonts w:hint="eastAsia" w:ascii="仿宋" w:hAnsi="仿宋" w:eastAsia="仿宋" w:cs="仿宋"/>
          <w:sz w:val="24"/>
          <w:szCs w:val="24"/>
        </w:rPr>
        <w:t>系</w:t>
      </w:r>
      <w:r>
        <w:rPr>
          <w:rFonts w:hint="eastAsia" w:ascii="仿宋" w:hAnsi="仿宋" w:eastAsia="仿宋" w:cs="仿宋"/>
          <w:sz w:val="24"/>
          <w:szCs w:val="24"/>
          <w:u w:val="single"/>
        </w:rPr>
        <w:t xml:space="preserve">     （投标人名称）</w:t>
      </w:r>
      <w:r>
        <w:rPr>
          <w:rFonts w:hint="eastAsia" w:ascii="仿宋" w:hAnsi="仿宋" w:eastAsia="仿宋" w:cs="仿宋"/>
          <w:sz w:val="24"/>
          <w:szCs w:val="24"/>
        </w:rPr>
        <w:t>的法定代表人（负责人），现委托</w:t>
      </w:r>
      <w:r>
        <w:rPr>
          <w:rFonts w:hint="eastAsia" w:ascii="仿宋" w:hAnsi="仿宋" w:eastAsia="仿宋" w:cs="仿宋"/>
          <w:sz w:val="24"/>
          <w:szCs w:val="24"/>
          <w:u w:val="single"/>
        </w:rPr>
        <w:t xml:space="preserve">     </w:t>
      </w:r>
      <w:r>
        <w:rPr>
          <w:rFonts w:hint="eastAsia" w:ascii="仿宋" w:hAnsi="仿宋" w:eastAsia="仿宋" w:cs="仿宋"/>
          <w:sz w:val="24"/>
          <w:szCs w:val="24"/>
        </w:rPr>
        <w:t>（姓名）为我方代理人。代理人根据授权，以我方名义签署、澄清、说明、补正、递交、撤回、修改</w:t>
      </w:r>
      <w:r>
        <w:rPr>
          <w:rFonts w:hint="eastAsia" w:ascii="仿宋" w:hAnsi="仿宋" w:eastAsia="仿宋" w:cs="仿宋"/>
          <w:sz w:val="24"/>
          <w:szCs w:val="24"/>
          <w:u w:val="single"/>
        </w:rPr>
        <w:t xml:space="preserve">     </w:t>
      </w:r>
      <w:r>
        <w:rPr>
          <w:rFonts w:hint="eastAsia" w:ascii="仿宋" w:hAnsi="仿宋" w:eastAsia="仿宋" w:cs="仿宋"/>
          <w:sz w:val="24"/>
          <w:szCs w:val="24"/>
        </w:rPr>
        <w:t>（项目名称）投标文件、签订合同和处理有关事宜，其法律后果由我方承担。</w:t>
      </w:r>
    </w:p>
    <w:p w14:paraId="310422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委托期限：</w:t>
      </w:r>
    </w:p>
    <w:p w14:paraId="000554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代理人无转委托权。</w:t>
      </w:r>
    </w:p>
    <w:p w14:paraId="41A5C8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附：法定代表人（负责人）身份证明</w:t>
      </w:r>
    </w:p>
    <w:p w14:paraId="3DAB8D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p>
    <w:p w14:paraId="1E893A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投标人：（盖单位章）</w:t>
      </w:r>
    </w:p>
    <w:p w14:paraId="618AFB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法定代表人（负责人）：</w:t>
      </w:r>
    </w:p>
    <w:p w14:paraId="552922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身份证号码：</w:t>
      </w:r>
    </w:p>
    <w:p w14:paraId="76FA2B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委托代理人：</w:t>
      </w:r>
    </w:p>
    <w:p w14:paraId="29D5BD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身份证号码：</w:t>
      </w:r>
    </w:p>
    <w:p w14:paraId="7F5672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日      期：</w:t>
      </w:r>
    </w:p>
    <w:p w14:paraId="4BAACDB8">
      <w:pPr>
        <w:keepNext w:val="0"/>
        <w:keepLines w:val="0"/>
        <w:pageBreakBefore w:val="0"/>
        <w:widowControl w:val="0"/>
        <w:kinsoku/>
        <w:wordWrap/>
        <w:overflowPunct/>
        <w:topLinePunct w:val="0"/>
        <w:autoSpaceDE/>
        <w:autoSpaceDN/>
        <w:bidi w:val="0"/>
        <w:spacing w:line="360" w:lineRule="auto"/>
        <w:jc w:val="left"/>
        <w:textAlignment w:val="auto"/>
        <w:rPr>
          <w:rFonts w:ascii="仿宋" w:hAnsi="仿宋" w:eastAsia="仿宋" w:cs="仿宋"/>
          <w:color w:val="000000"/>
          <w:sz w:val="24"/>
        </w:rPr>
      </w:pPr>
    </w:p>
    <w:p w14:paraId="6C43CA28">
      <w:pPr>
        <w:keepNext w:val="0"/>
        <w:keepLines w:val="0"/>
        <w:pageBreakBefore w:val="0"/>
        <w:widowControl w:val="0"/>
        <w:kinsoku/>
        <w:wordWrap/>
        <w:overflowPunct/>
        <w:topLinePunct w:val="0"/>
        <w:autoSpaceDE/>
        <w:autoSpaceDN/>
        <w:bidi w:val="0"/>
        <w:spacing w:line="360" w:lineRule="auto"/>
        <w:jc w:val="left"/>
        <w:textAlignment w:val="auto"/>
        <w:rPr>
          <w:rFonts w:ascii="仿宋" w:hAnsi="仿宋" w:eastAsia="仿宋" w:cs="仿宋"/>
          <w:color w:val="000000"/>
          <w:sz w:val="24"/>
        </w:rPr>
      </w:pP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2EA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5000" w:type="pct"/>
          </w:tcPr>
          <w:p w14:paraId="022A51C4">
            <w:pPr>
              <w:rPr>
                <w:rFonts w:hint="eastAsia" w:ascii="仿宋" w:hAnsi="仿宋" w:eastAsia="仿宋" w:cs="仿宋"/>
                <w:sz w:val="24"/>
                <w:szCs w:val="24"/>
              </w:rPr>
            </w:pPr>
            <w:r>
              <w:rPr>
                <w:rFonts w:hint="eastAsia" w:ascii="仿宋" w:hAnsi="仿宋" w:eastAsia="仿宋" w:cs="仿宋"/>
                <w:sz w:val="24"/>
                <w:szCs w:val="24"/>
              </w:rPr>
              <w:t>附：法定代表人（负责人）和授权代表身份证复印件(正反面)</w:t>
            </w:r>
          </w:p>
        </w:tc>
      </w:tr>
    </w:tbl>
    <w:p w14:paraId="4867C8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szCs w:val="24"/>
        </w:rPr>
      </w:pPr>
      <w:r>
        <w:rPr>
          <w:rFonts w:hint="eastAsia" w:ascii="仿宋" w:hAnsi="仿宋" w:eastAsia="仿宋" w:cs="仿宋"/>
          <w:b/>
          <w:sz w:val="24"/>
          <w:szCs w:val="24"/>
        </w:rPr>
        <w:t>注：授权代表人参加投标时提供</w:t>
      </w:r>
    </w:p>
    <w:p w14:paraId="2391C5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en-US" w:eastAsia="zh-CN"/>
        </w:rPr>
      </w:pPr>
    </w:p>
    <w:p w14:paraId="506E33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zh-CN" w:eastAsia="zh-CN"/>
        </w:rPr>
      </w:pPr>
      <w:r>
        <w:rPr>
          <w:rFonts w:hint="eastAsia" w:ascii="仿宋" w:hAnsi="仿宋" w:eastAsia="仿宋" w:cs="仿宋"/>
          <w:color w:val="000000"/>
          <w:sz w:val="24"/>
          <w:szCs w:val="24"/>
          <w:lang w:val="en-US" w:eastAsia="zh-CN"/>
        </w:rPr>
        <w:br w:type="page"/>
      </w:r>
    </w:p>
    <w:p w14:paraId="472DA818">
      <w:pPr>
        <w:pStyle w:val="3"/>
        <w:pageBreakBefore w:val="0"/>
        <w:widowControl w:val="0"/>
        <w:numPr>
          <w:ilvl w:val="0"/>
          <w:numId w:val="13"/>
        </w:numPr>
        <w:kinsoku/>
        <w:overflowPunct/>
        <w:topLinePunct w:val="0"/>
        <w:autoSpaceDE/>
        <w:autoSpaceDN/>
        <w:bidi w:val="0"/>
        <w:adjustRightInd/>
        <w:snapToGrid/>
        <w:spacing w:before="0" w:after="0" w:line="360" w:lineRule="auto"/>
        <w:ind w:left="0" w:firstLine="643" w:firstLineChars="200"/>
        <w:textAlignment w:val="auto"/>
        <w:rPr>
          <w:rFonts w:hint="eastAsia" w:ascii="仿宋" w:hAnsi="仿宋" w:eastAsia="仿宋" w:cs="仿宋"/>
          <w:sz w:val="32"/>
          <w:szCs w:val="32"/>
          <w:lang w:val="zh-CN"/>
        </w:rPr>
      </w:pPr>
      <w:bookmarkStart w:id="323" w:name="_Toc27700"/>
      <w:r>
        <w:rPr>
          <w:rFonts w:hint="eastAsia" w:ascii="仿宋" w:hAnsi="仿宋" w:eastAsia="仿宋" w:cs="仿宋"/>
          <w:sz w:val="32"/>
          <w:szCs w:val="32"/>
          <w:lang w:val="en-US" w:eastAsia="zh-CN"/>
        </w:rPr>
        <w:t>资格证明文件</w:t>
      </w:r>
      <w:bookmarkEnd w:id="323"/>
    </w:p>
    <w:p w14:paraId="2EB4E7D2">
      <w:pPr>
        <w:keepNext w:val="0"/>
        <w:keepLines w:val="0"/>
        <w:pageBreakBefore w:val="0"/>
        <w:widowControl w:val="0"/>
        <w:kinsoku/>
        <w:wordWrap/>
        <w:overflowPunct/>
        <w:topLinePunct w:val="0"/>
        <w:autoSpaceDE w:val="0"/>
        <w:autoSpaceDN w:val="0"/>
        <w:bidi w:val="0"/>
        <w:adjustRightInd w:val="0"/>
        <w:snapToGrid/>
        <w:spacing w:line="360" w:lineRule="auto"/>
        <w:ind w:firstLine="562" w:firstLineChars="200"/>
        <w:jc w:val="left"/>
        <w:textAlignment w:val="auto"/>
        <w:rPr>
          <w:rFonts w:hint="eastAsia" w:ascii="仿宋" w:hAnsi="仿宋" w:eastAsia="仿宋" w:cs="仿宋"/>
          <w:b/>
          <w:sz w:val="28"/>
          <w:szCs w:val="28"/>
          <w:lang w:val="zh-CN"/>
        </w:rPr>
      </w:pPr>
      <w:r>
        <w:rPr>
          <w:rFonts w:hint="eastAsia" w:ascii="仿宋" w:hAnsi="仿宋" w:eastAsia="仿宋" w:cs="仿宋"/>
          <w:b/>
          <w:sz w:val="28"/>
          <w:szCs w:val="28"/>
          <w:lang w:val="zh-CN"/>
        </w:rPr>
        <w:t>封面：</w:t>
      </w:r>
    </w:p>
    <w:p w14:paraId="7590A65F">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4"/>
        </w:rPr>
      </w:pPr>
    </w:p>
    <w:p w14:paraId="7E46EB5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4"/>
        </w:rPr>
      </w:pPr>
    </w:p>
    <w:p w14:paraId="5079F61E">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sz w:val="21"/>
          <w:szCs w:val="24"/>
        </w:rPr>
      </w:pPr>
    </w:p>
    <w:p w14:paraId="7B4BB7E5">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b/>
          <w:sz w:val="84"/>
          <w:szCs w:val="84"/>
        </w:rPr>
      </w:pPr>
      <w:r>
        <w:rPr>
          <w:rFonts w:hint="eastAsia" w:ascii="仿宋" w:hAnsi="仿宋" w:eastAsia="仿宋" w:cs="仿宋"/>
          <w:b/>
          <w:sz w:val="84"/>
          <w:szCs w:val="84"/>
        </w:rPr>
        <w:t>投 标 文 件</w:t>
      </w:r>
    </w:p>
    <w:p w14:paraId="616CC193">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b/>
          <w:sz w:val="56"/>
          <w:szCs w:val="56"/>
        </w:rPr>
      </w:pPr>
      <w:r>
        <w:rPr>
          <w:rFonts w:hint="eastAsia" w:ascii="仿宋" w:hAnsi="仿宋" w:eastAsia="仿宋" w:cs="仿宋"/>
          <w:b/>
          <w:sz w:val="56"/>
          <w:szCs w:val="56"/>
        </w:rPr>
        <w:t>资格证明文件</w:t>
      </w:r>
    </w:p>
    <w:p w14:paraId="7CC232F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b/>
          <w:bCs/>
          <w:sz w:val="22"/>
        </w:rPr>
      </w:pPr>
    </w:p>
    <w:p w14:paraId="4449CE74">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1"/>
        </w:rPr>
      </w:pPr>
    </w:p>
    <w:p w14:paraId="412C85A4">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1"/>
        </w:rPr>
      </w:pPr>
    </w:p>
    <w:p w14:paraId="44B233D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1"/>
        </w:rPr>
      </w:pPr>
    </w:p>
    <w:p w14:paraId="5C2741E7">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项目编号：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4FD1600F">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项目名称</w:t>
      </w:r>
      <w:r>
        <w:rPr>
          <w:rFonts w:hint="eastAsia" w:ascii="仿宋" w:hAnsi="仿宋" w:eastAsia="仿宋" w:cs="仿宋"/>
          <w:b/>
          <w:bCs/>
          <w:sz w:val="32"/>
          <w:szCs w:val="32"/>
          <w:lang w:eastAsia="zh-CN"/>
        </w:rPr>
        <w:t>：</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6DFDDAB8">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采购包编号：</w:t>
      </w:r>
      <w:r>
        <w:rPr>
          <w:rFonts w:hint="eastAsia" w:ascii="仿宋" w:hAnsi="仿宋" w:eastAsia="仿宋" w:cs="仿宋"/>
          <w:b/>
          <w:bCs/>
          <w:sz w:val="32"/>
          <w:szCs w:val="32"/>
          <w:u w:val="single"/>
        </w:rPr>
        <w:t xml:space="preserve"> 【如有】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70E1B161">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采购包名称：</w:t>
      </w:r>
      <w:r>
        <w:rPr>
          <w:rFonts w:hint="eastAsia" w:ascii="仿宋" w:hAnsi="仿宋" w:eastAsia="仿宋" w:cs="仿宋"/>
          <w:b/>
          <w:bCs/>
          <w:sz w:val="32"/>
          <w:szCs w:val="32"/>
          <w:u w:val="single"/>
        </w:rPr>
        <w:t xml:space="preserve"> 【如有】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107A5855">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投标人：</w:t>
      </w:r>
      <w:r>
        <w:rPr>
          <w:rFonts w:hint="eastAsia" w:ascii="仿宋" w:hAnsi="仿宋" w:eastAsia="仿宋" w:cs="仿宋"/>
          <w:b/>
          <w:bCs/>
          <w:sz w:val="32"/>
          <w:szCs w:val="32"/>
          <w:u w:val="single"/>
        </w:rPr>
        <w:t xml:space="preserve">                                          </w:t>
      </w:r>
    </w:p>
    <w:p w14:paraId="42FA6501">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72249260">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757E968E">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78982AB8">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18C6D0F8">
      <w:pPr>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年   月    日</w:t>
      </w:r>
    </w:p>
    <w:p w14:paraId="5043F9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en-US" w:eastAsia="zh-CN"/>
        </w:rPr>
      </w:pPr>
    </w:p>
    <w:p w14:paraId="366473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zh-CN" w:eastAsia="zh-CN"/>
        </w:rPr>
      </w:pPr>
      <w:bookmarkStart w:id="324" w:name="_Toc163492921"/>
      <w:bookmarkStart w:id="325" w:name="_Toc155185927"/>
      <w:r>
        <w:rPr>
          <w:rFonts w:hint="eastAsia" w:ascii="仿宋" w:hAnsi="仿宋" w:eastAsia="仿宋" w:cs="仿宋"/>
          <w:color w:val="000000"/>
          <w:sz w:val="24"/>
          <w:szCs w:val="24"/>
          <w:lang w:val="zh-CN" w:eastAsia="zh-CN"/>
        </w:rPr>
        <w:br w:type="page"/>
      </w:r>
    </w:p>
    <w:p w14:paraId="47C56B3E">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26" w:name="_Toc30880"/>
      <w:r>
        <w:rPr>
          <w:rFonts w:hint="eastAsia" w:ascii="仿宋" w:hAnsi="仿宋" w:eastAsia="仿宋" w:cs="仿宋"/>
          <w:sz w:val="32"/>
          <w:szCs w:val="32"/>
          <w:lang w:val="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val="zh-CN"/>
        </w:rPr>
        <w:t>）企业法人营业执照、事业单位法人证书或团体组织法人证书</w:t>
      </w:r>
      <w:bookmarkEnd w:id="324"/>
      <w:bookmarkEnd w:id="325"/>
      <w:bookmarkEnd w:id="326"/>
    </w:p>
    <w:p w14:paraId="1B038821">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27" w:name="_Toc27266"/>
      <w:bookmarkStart w:id="328" w:name="_Toc155185928"/>
      <w:bookmarkStart w:id="329" w:name="_Toc163492922"/>
      <w:r>
        <w:rPr>
          <w:rFonts w:hint="eastAsia" w:ascii="仿宋" w:hAnsi="仿宋" w:eastAsia="仿宋" w:cs="仿宋"/>
          <w:sz w:val="32"/>
          <w:szCs w:val="32"/>
          <w:lang w:val="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val="zh-CN"/>
        </w:rPr>
        <w:t>）资格条件承诺书</w:t>
      </w:r>
      <w:bookmarkEnd w:id="327"/>
      <w:bookmarkEnd w:id="328"/>
      <w:bookmarkEnd w:id="329"/>
    </w:p>
    <w:p w14:paraId="5D01E0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u w:val="single"/>
        </w:rPr>
      </w:pPr>
      <w:bookmarkStart w:id="330" w:name="_Hlk161693574"/>
      <w:bookmarkStart w:id="331" w:name="_Hlk161693525"/>
      <w:r>
        <w:rPr>
          <w:rFonts w:hint="eastAsia" w:ascii="仿宋" w:hAnsi="仿宋" w:eastAsia="仿宋" w:cs="仿宋"/>
          <w:sz w:val="24"/>
          <w:szCs w:val="32"/>
        </w:rPr>
        <w:t>致：</w:t>
      </w:r>
      <w:r>
        <w:rPr>
          <w:rFonts w:hint="eastAsia" w:ascii="仿宋" w:hAnsi="仿宋" w:eastAsia="仿宋" w:cs="仿宋"/>
          <w:sz w:val="24"/>
          <w:szCs w:val="32"/>
          <w:u w:val="single"/>
        </w:rPr>
        <w:t>采购人/采购代理机构</w:t>
      </w:r>
    </w:p>
    <w:p w14:paraId="2A6CDB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我方承诺完全满足招标文件对投标人的资格要求：</w:t>
      </w:r>
    </w:p>
    <w:p w14:paraId="4DA3CF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1.满足《中华人民共和国政府采购法》第二十二条规定；</w:t>
      </w:r>
    </w:p>
    <w:p w14:paraId="55781A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（1）具有独立承担民事责任的能力；</w:t>
      </w:r>
    </w:p>
    <w:p w14:paraId="6DACF8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（2）具有良好的商业信誉和健全的财务会计制度；</w:t>
      </w:r>
    </w:p>
    <w:p w14:paraId="0A8919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（3）具有履行合同所必需的设备和专业技术能力；</w:t>
      </w:r>
    </w:p>
    <w:p w14:paraId="061A58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（4）有依法缴纳税收和社会保障资金的良好记录；</w:t>
      </w:r>
    </w:p>
    <w:p w14:paraId="7B6541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（5）参加采购活动前三年内，在经营活动中没有重大违法记录：</w:t>
      </w:r>
    </w:p>
    <w:p w14:paraId="0DF82742">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仿宋" w:hAnsi="仿宋" w:eastAsia="仿宋" w:cs="仿宋"/>
          <w:sz w:val="24"/>
          <w:szCs w:val="32"/>
        </w:rPr>
        <w:t>我方未因违法经营被追究过刑事责任；</w:t>
      </w:r>
    </w:p>
    <w:p w14:paraId="147A7C1D">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2）</w:t>
      </w:r>
      <w:r>
        <w:rPr>
          <w:rFonts w:hint="eastAsia" w:ascii="仿宋" w:hAnsi="仿宋" w:eastAsia="仿宋" w:cs="仿宋"/>
          <w:sz w:val="24"/>
          <w:szCs w:val="32"/>
        </w:rPr>
        <w:t>我方未因违法经营被责令停产停业、吊销许可证或者执照；</w:t>
      </w:r>
    </w:p>
    <w:p w14:paraId="7550316A">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3）</w:t>
      </w:r>
      <w:r>
        <w:rPr>
          <w:rFonts w:hint="eastAsia" w:ascii="仿宋" w:hAnsi="仿宋" w:eastAsia="仿宋" w:cs="仿宋"/>
          <w:sz w:val="24"/>
          <w:szCs w:val="32"/>
        </w:rPr>
        <w:t>我方未因违法经营被处以较大数额罚款等行政处罚。</w:t>
      </w:r>
    </w:p>
    <w:p w14:paraId="06733B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（6）满足法律、行政法规规定的其他条件。</w:t>
      </w:r>
    </w:p>
    <w:p w14:paraId="36FF80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2.我方未被列入失信被执行人、重大税收违法</w:t>
      </w:r>
      <w:r>
        <w:rPr>
          <w:rFonts w:hint="eastAsia" w:ascii="仿宋" w:hAnsi="仿宋" w:eastAsia="仿宋" w:cs="仿宋"/>
          <w:sz w:val="24"/>
          <w:szCs w:val="32"/>
          <w:lang w:val="en-US" w:eastAsia="zh-CN"/>
        </w:rPr>
        <w:t>失信主体</w:t>
      </w:r>
      <w:r>
        <w:rPr>
          <w:rFonts w:hint="eastAsia" w:ascii="仿宋" w:hAnsi="仿宋" w:eastAsia="仿宋" w:cs="仿宋"/>
          <w:sz w:val="24"/>
          <w:szCs w:val="32"/>
        </w:rPr>
        <w:t>，未被列入政府采购严重违法失信行为记录名单。</w:t>
      </w:r>
    </w:p>
    <w:p w14:paraId="2B7CFC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我方保证上述信息的完整、客观、真实、准确，并愿意承担我方因提供虚假材料谋骗取中标所引起的一切法律后果。</w:t>
      </w:r>
    </w:p>
    <w:bookmarkEnd w:id="330"/>
    <w:p w14:paraId="04F471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p>
    <w:bookmarkEnd w:id="331"/>
    <w:p w14:paraId="4F7255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p>
    <w:p w14:paraId="306514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投标人</w:t>
      </w:r>
      <w:r>
        <w:rPr>
          <w:rFonts w:hint="eastAsia" w:ascii="仿宋" w:hAnsi="仿宋" w:eastAsia="仿宋" w:cs="仿宋"/>
          <w:sz w:val="24"/>
          <w:szCs w:val="32"/>
        </w:rPr>
        <w:t xml:space="preserve">名称（盖章）：                       </w:t>
      </w:r>
    </w:p>
    <w:p w14:paraId="33ACB9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 xml:space="preserve">法定代表人或委托代理人(签字或签章)：         </w:t>
      </w:r>
    </w:p>
    <w:p w14:paraId="0785C4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 xml:space="preserve">日  期：                                   </w:t>
      </w:r>
    </w:p>
    <w:p w14:paraId="07C26D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p>
    <w:p w14:paraId="3C8168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zh-CN" w:eastAsia="zh-CN"/>
        </w:rPr>
      </w:pPr>
      <w:bookmarkStart w:id="332" w:name="_Toc140132840"/>
      <w:bookmarkStart w:id="333" w:name="_Toc109899917"/>
      <w:bookmarkStart w:id="334" w:name="_Toc155185930"/>
      <w:bookmarkStart w:id="335" w:name="_Toc109899498"/>
      <w:bookmarkStart w:id="336" w:name="_Toc163492923"/>
      <w:bookmarkStart w:id="337" w:name="_Toc109900336"/>
      <w:r>
        <w:rPr>
          <w:rFonts w:hint="eastAsia" w:ascii="仿宋" w:hAnsi="仿宋" w:eastAsia="仿宋" w:cs="仿宋"/>
          <w:color w:val="000000"/>
          <w:sz w:val="24"/>
          <w:szCs w:val="24"/>
          <w:lang w:val="zh-CN" w:eastAsia="zh-CN"/>
        </w:rPr>
        <w:br w:type="page"/>
      </w:r>
    </w:p>
    <w:p w14:paraId="4D84023C">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38" w:name="_Toc17758"/>
      <w:r>
        <w:rPr>
          <w:rFonts w:hint="eastAsia" w:ascii="仿宋" w:hAnsi="仿宋" w:eastAsia="仿宋" w:cs="仿宋"/>
          <w:sz w:val="32"/>
          <w:szCs w:val="32"/>
          <w:lang w:val="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val="zh-CN"/>
        </w:rPr>
        <w:t>）资格证明文件</w:t>
      </w:r>
      <w:bookmarkEnd w:id="332"/>
      <w:bookmarkEnd w:id="333"/>
      <w:bookmarkEnd w:id="334"/>
      <w:bookmarkEnd w:id="335"/>
      <w:bookmarkEnd w:id="336"/>
      <w:bookmarkEnd w:id="337"/>
      <w:bookmarkEnd w:id="338"/>
    </w:p>
    <w:p w14:paraId="2009BC0E">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投标人须提供的资格证明文件详见第四章《资格审查表》。</w:t>
      </w:r>
    </w:p>
    <w:p w14:paraId="539203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en-US" w:eastAsia="zh-CN"/>
        </w:rPr>
      </w:pPr>
    </w:p>
    <w:p w14:paraId="159DDC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en-US" w:eastAsia="zh-CN"/>
        </w:rPr>
      </w:pPr>
    </w:p>
    <w:p w14:paraId="3AA3CC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en-US" w:eastAsia="zh-CN"/>
        </w:rPr>
      </w:pPr>
    </w:p>
    <w:p w14:paraId="5695CD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zh-CN"/>
        </w:rPr>
      </w:pPr>
      <w:bookmarkStart w:id="339" w:name="_Toc155185931"/>
      <w:bookmarkStart w:id="340" w:name="_Toc163492924"/>
      <w:r>
        <w:rPr>
          <w:rFonts w:hint="eastAsia" w:ascii="仿宋" w:hAnsi="仿宋" w:eastAsia="仿宋" w:cs="仿宋"/>
          <w:color w:val="000000"/>
          <w:sz w:val="24"/>
          <w:szCs w:val="24"/>
          <w:lang w:val="zh-CN"/>
        </w:rPr>
        <w:br w:type="page"/>
      </w:r>
    </w:p>
    <w:p w14:paraId="487D1D93">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41" w:name="_Toc19672"/>
      <w:bookmarkStart w:id="342" w:name="_Toc371"/>
      <w:r>
        <w:rPr>
          <w:rFonts w:hint="eastAsia" w:ascii="仿宋" w:hAnsi="仿宋" w:eastAsia="仿宋" w:cs="仿宋"/>
          <w:sz w:val="32"/>
          <w:szCs w:val="32"/>
          <w:lang w:val="zh-CN"/>
        </w:rPr>
        <w:t>（</w:t>
      </w:r>
      <w:r>
        <w:rPr>
          <w:rFonts w:hint="eastAsia" w:ascii="仿宋" w:hAnsi="仿宋" w:eastAsia="仿宋" w:cs="仿宋"/>
          <w:sz w:val="32"/>
          <w:szCs w:val="32"/>
          <w:lang w:val="en-US" w:eastAsia="zh-CN"/>
        </w:rPr>
        <w:t>四</w:t>
      </w:r>
      <w:r>
        <w:rPr>
          <w:rFonts w:hint="eastAsia" w:ascii="仿宋" w:hAnsi="仿宋" w:eastAsia="仿宋" w:cs="仿宋"/>
          <w:sz w:val="32"/>
          <w:szCs w:val="32"/>
          <w:lang w:val="zh-CN"/>
        </w:rPr>
        <w:t>）</w:t>
      </w:r>
      <w:bookmarkEnd w:id="339"/>
      <w:bookmarkEnd w:id="340"/>
      <w:bookmarkEnd w:id="341"/>
      <w:bookmarkStart w:id="343" w:name="_Toc163492926"/>
      <w:bookmarkStart w:id="344" w:name="_Toc155185932"/>
      <w:r>
        <w:rPr>
          <w:rFonts w:hint="eastAsia" w:ascii="仿宋" w:hAnsi="仿宋" w:eastAsia="仿宋" w:cs="仿宋"/>
          <w:sz w:val="32"/>
          <w:szCs w:val="32"/>
          <w:lang w:val="zh-CN"/>
        </w:rPr>
        <w:t>其他资格证明文件</w:t>
      </w:r>
      <w:bookmarkEnd w:id="342"/>
      <w:bookmarkEnd w:id="343"/>
      <w:bookmarkEnd w:id="344"/>
    </w:p>
    <w:p w14:paraId="783F81CE">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投标人认为需提供的其它相关资格证明材料</w:t>
      </w:r>
    </w:p>
    <w:p w14:paraId="3D817D2C">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sz w:val="24"/>
          <w:szCs w:val="24"/>
          <w:lang w:val="en-US" w:eastAsia="zh-CN"/>
        </w:rPr>
      </w:pPr>
    </w:p>
    <w:p w14:paraId="34286D0B">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sz w:val="24"/>
          <w:szCs w:val="24"/>
          <w:lang w:val="en-US" w:eastAsia="zh-CN"/>
        </w:rPr>
      </w:pPr>
    </w:p>
    <w:p w14:paraId="0B10E593">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sz w:val="24"/>
          <w:szCs w:val="24"/>
          <w:lang w:val="en-US" w:eastAsia="zh-CN"/>
        </w:rPr>
      </w:pPr>
    </w:p>
    <w:p w14:paraId="49E424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br w:type="page"/>
      </w:r>
    </w:p>
    <w:p w14:paraId="46763EBA">
      <w:pPr>
        <w:pStyle w:val="3"/>
        <w:pageBreakBefore w:val="0"/>
        <w:widowControl w:val="0"/>
        <w:numPr>
          <w:ilvl w:val="0"/>
          <w:numId w:val="13"/>
        </w:numPr>
        <w:kinsoku/>
        <w:overflowPunct/>
        <w:topLinePunct w:val="0"/>
        <w:autoSpaceDE/>
        <w:autoSpaceDN/>
        <w:bidi w:val="0"/>
        <w:adjustRightInd/>
        <w:snapToGrid/>
        <w:spacing w:before="0" w:after="0" w:line="360" w:lineRule="auto"/>
        <w:ind w:left="0" w:firstLine="643" w:firstLineChars="200"/>
        <w:textAlignment w:val="auto"/>
        <w:rPr>
          <w:rFonts w:hint="eastAsia" w:ascii="仿宋" w:hAnsi="仿宋" w:eastAsia="仿宋" w:cs="仿宋"/>
          <w:sz w:val="32"/>
          <w:szCs w:val="32"/>
          <w:lang w:val="zh-CN"/>
        </w:rPr>
      </w:pPr>
      <w:bookmarkStart w:id="345" w:name="_Toc3237"/>
      <w:r>
        <w:rPr>
          <w:rFonts w:hint="eastAsia" w:ascii="仿宋" w:hAnsi="仿宋" w:eastAsia="仿宋" w:cs="仿宋"/>
          <w:sz w:val="32"/>
          <w:szCs w:val="32"/>
          <w:lang w:val="en-US" w:eastAsia="zh-CN"/>
        </w:rPr>
        <w:t>其他响应文件</w:t>
      </w:r>
      <w:bookmarkEnd w:id="345"/>
    </w:p>
    <w:p w14:paraId="3D3940F4">
      <w:pPr>
        <w:keepNext w:val="0"/>
        <w:keepLines w:val="0"/>
        <w:pageBreakBefore w:val="0"/>
        <w:widowControl w:val="0"/>
        <w:kinsoku/>
        <w:wordWrap/>
        <w:overflowPunct/>
        <w:topLinePunct w:val="0"/>
        <w:autoSpaceDE w:val="0"/>
        <w:autoSpaceDN w:val="0"/>
        <w:bidi w:val="0"/>
        <w:adjustRightInd w:val="0"/>
        <w:snapToGrid/>
        <w:spacing w:line="360" w:lineRule="auto"/>
        <w:ind w:firstLine="562" w:firstLineChars="200"/>
        <w:jc w:val="left"/>
        <w:textAlignment w:val="auto"/>
        <w:rPr>
          <w:rFonts w:hint="eastAsia" w:ascii="仿宋" w:hAnsi="仿宋" w:eastAsia="仿宋" w:cs="仿宋"/>
          <w:b/>
          <w:sz w:val="28"/>
          <w:szCs w:val="28"/>
          <w:lang w:val="zh-CN"/>
        </w:rPr>
      </w:pPr>
      <w:r>
        <w:rPr>
          <w:rFonts w:hint="eastAsia" w:ascii="仿宋" w:hAnsi="仿宋" w:eastAsia="仿宋" w:cs="仿宋"/>
          <w:b/>
          <w:sz w:val="28"/>
          <w:szCs w:val="28"/>
          <w:lang w:val="zh-CN"/>
        </w:rPr>
        <w:t>封面：</w:t>
      </w:r>
    </w:p>
    <w:p w14:paraId="6F7390A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4"/>
        </w:rPr>
      </w:pPr>
    </w:p>
    <w:p w14:paraId="3E402C8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4"/>
        </w:rPr>
      </w:pPr>
    </w:p>
    <w:p w14:paraId="72E9655E">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sz w:val="21"/>
          <w:szCs w:val="24"/>
        </w:rPr>
      </w:pPr>
    </w:p>
    <w:p w14:paraId="0D6E23E9">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b/>
          <w:sz w:val="84"/>
          <w:szCs w:val="84"/>
        </w:rPr>
      </w:pPr>
      <w:r>
        <w:rPr>
          <w:rFonts w:hint="eastAsia" w:ascii="仿宋" w:hAnsi="仿宋" w:eastAsia="仿宋" w:cs="仿宋"/>
          <w:b/>
          <w:sz w:val="84"/>
          <w:szCs w:val="84"/>
        </w:rPr>
        <w:t>投 标 文 件</w:t>
      </w:r>
    </w:p>
    <w:p w14:paraId="4FB46446">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仿宋" w:hAnsi="仿宋" w:eastAsia="仿宋" w:cs="仿宋"/>
          <w:b/>
          <w:sz w:val="56"/>
          <w:szCs w:val="56"/>
          <w:lang w:val="en-US" w:eastAsia="zh-CN"/>
        </w:rPr>
      </w:pPr>
      <w:r>
        <w:rPr>
          <w:rFonts w:hint="eastAsia" w:ascii="仿宋" w:hAnsi="仿宋" w:eastAsia="仿宋" w:cs="仿宋"/>
          <w:b/>
          <w:sz w:val="56"/>
          <w:szCs w:val="56"/>
          <w:lang w:val="en-US" w:eastAsia="zh-CN"/>
        </w:rPr>
        <w:t>其他响应文件</w:t>
      </w:r>
    </w:p>
    <w:p w14:paraId="2BDEA2A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b/>
          <w:bCs/>
          <w:sz w:val="22"/>
        </w:rPr>
      </w:pPr>
    </w:p>
    <w:p w14:paraId="5AA920A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1"/>
        </w:rPr>
      </w:pPr>
    </w:p>
    <w:p w14:paraId="37F6110F">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1"/>
        </w:rPr>
      </w:pPr>
    </w:p>
    <w:p w14:paraId="7EDD256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sz w:val="21"/>
          <w:szCs w:val="21"/>
        </w:rPr>
      </w:pPr>
    </w:p>
    <w:p w14:paraId="730756CA">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项目编号：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6871ED6A">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项目名称</w:t>
      </w:r>
      <w:r>
        <w:rPr>
          <w:rFonts w:hint="eastAsia" w:ascii="仿宋" w:hAnsi="仿宋" w:eastAsia="仿宋" w:cs="仿宋"/>
          <w:b/>
          <w:bCs/>
          <w:sz w:val="32"/>
          <w:szCs w:val="32"/>
          <w:lang w:eastAsia="zh-CN"/>
        </w:rPr>
        <w:t>：</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2311DD0B">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采购包编号：</w:t>
      </w:r>
      <w:r>
        <w:rPr>
          <w:rFonts w:hint="eastAsia" w:ascii="仿宋" w:hAnsi="仿宋" w:eastAsia="仿宋" w:cs="仿宋"/>
          <w:b/>
          <w:bCs/>
          <w:sz w:val="32"/>
          <w:szCs w:val="32"/>
          <w:u w:val="single"/>
        </w:rPr>
        <w:t xml:space="preserve"> 【如有】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3A73961E">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采购包名称：</w:t>
      </w:r>
      <w:r>
        <w:rPr>
          <w:rFonts w:hint="eastAsia" w:ascii="仿宋" w:hAnsi="仿宋" w:eastAsia="仿宋" w:cs="仿宋"/>
          <w:b/>
          <w:bCs/>
          <w:sz w:val="32"/>
          <w:szCs w:val="32"/>
          <w:u w:val="single"/>
        </w:rPr>
        <w:t xml:space="preserve"> 【如有】                       </w:t>
      </w: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sz w:val="32"/>
          <w:szCs w:val="32"/>
          <w:u w:val="single"/>
        </w:rPr>
        <w:t xml:space="preserve">     </w:t>
      </w:r>
    </w:p>
    <w:p w14:paraId="071AD36C">
      <w:pPr>
        <w:keepNext w:val="0"/>
        <w:keepLines w:val="0"/>
        <w:pageBreakBefore w:val="0"/>
        <w:widowControl w:val="0"/>
        <w:kinsoku/>
        <w:wordWrap/>
        <w:overflowPunct/>
        <w:topLinePunct w:val="0"/>
        <w:bidi w:val="0"/>
        <w:snapToGrid/>
        <w:spacing w:line="360" w:lineRule="auto"/>
        <w:ind w:left="368" w:leftChars="175"/>
        <w:textAlignment w:val="auto"/>
        <w:rPr>
          <w:rFonts w:hint="eastAsia" w:ascii="仿宋" w:hAnsi="仿宋" w:eastAsia="仿宋" w:cs="仿宋"/>
          <w:b/>
          <w:bCs/>
          <w:sz w:val="32"/>
          <w:szCs w:val="32"/>
        </w:rPr>
      </w:pPr>
      <w:r>
        <w:rPr>
          <w:rFonts w:hint="eastAsia" w:ascii="仿宋" w:hAnsi="仿宋" w:eastAsia="仿宋" w:cs="仿宋"/>
          <w:b/>
          <w:bCs/>
          <w:sz w:val="32"/>
          <w:szCs w:val="32"/>
        </w:rPr>
        <w:t>投标人：</w:t>
      </w:r>
      <w:r>
        <w:rPr>
          <w:rFonts w:hint="eastAsia" w:ascii="仿宋" w:hAnsi="仿宋" w:eastAsia="仿宋" w:cs="仿宋"/>
          <w:b/>
          <w:bCs/>
          <w:sz w:val="32"/>
          <w:szCs w:val="32"/>
          <w:u w:val="single"/>
        </w:rPr>
        <w:t xml:space="preserve">                                          </w:t>
      </w:r>
    </w:p>
    <w:p w14:paraId="3EEF197B">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0F4C3299">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108595C9">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56A7C748">
      <w:pPr>
        <w:keepNext w:val="0"/>
        <w:keepLines w:val="0"/>
        <w:pageBreakBefore w:val="0"/>
        <w:widowControl w:val="0"/>
        <w:kinsoku/>
        <w:wordWrap/>
        <w:overflowPunct/>
        <w:topLinePunct w:val="0"/>
        <w:bidi w:val="0"/>
        <w:snapToGrid/>
        <w:spacing w:line="360" w:lineRule="auto"/>
        <w:ind w:left="840" w:firstLine="420"/>
        <w:textAlignment w:val="auto"/>
        <w:rPr>
          <w:rFonts w:hint="eastAsia" w:ascii="仿宋" w:hAnsi="仿宋" w:eastAsia="仿宋" w:cs="仿宋"/>
          <w:b/>
          <w:bCs/>
          <w:sz w:val="28"/>
          <w:szCs w:val="28"/>
        </w:rPr>
      </w:pPr>
    </w:p>
    <w:p w14:paraId="0518424B">
      <w:pPr>
        <w:keepNext w:val="0"/>
        <w:keepLines w:val="0"/>
        <w:pageBreakBefore w:val="0"/>
        <w:widowControl w:val="0"/>
        <w:kinsoku/>
        <w:wordWrap/>
        <w:overflowPunct/>
        <w:topLinePunct w:val="0"/>
        <w:bidi w:val="0"/>
        <w:snapToGrid/>
        <w:spacing w:line="360"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年   月    日</w:t>
      </w:r>
    </w:p>
    <w:p w14:paraId="671487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bookmarkStart w:id="346" w:name="_Toc163492928"/>
      <w:bookmarkStart w:id="347" w:name="_Toc155185934"/>
      <w:r>
        <w:rPr>
          <w:rFonts w:hint="eastAsia" w:ascii="仿宋" w:hAnsi="仿宋" w:eastAsia="仿宋" w:cs="仿宋"/>
          <w:sz w:val="24"/>
          <w:szCs w:val="24"/>
          <w:lang w:val="zh-CN"/>
        </w:rPr>
        <w:br w:type="page"/>
      </w:r>
    </w:p>
    <w:p w14:paraId="7844BE02">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48" w:name="_Toc31856"/>
      <w:r>
        <w:rPr>
          <w:rFonts w:hint="eastAsia" w:ascii="仿宋" w:hAnsi="仿宋" w:eastAsia="仿宋" w:cs="仿宋"/>
          <w:sz w:val="32"/>
          <w:szCs w:val="32"/>
          <w:lang w:val="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val="zh-CN"/>
        </w:rPr>
        <w:t>）商务部分</w:t>
      </w:r>
      <w:bookmarkEnd w:id="346"/>
      <w:bookmarkEnd w:id="347"/>
      <w:bookmarkEnd w:id="348"/>
    </w:p>
    <w:p w14:paraId="0CFEBB39">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49" w:name="_Toc18912"/>
      <w:bookmarkStart w:id="350" w:name="_Toc163492929"/>
      <w:r>
        <w:rPr>
          <w:rFonts w:hint="eastAsia" w:ascii="仿宋" w:hAnsi="仿宋" w:eastAsia="仿宋" w:cs="仿宋"/>
          <w:sz w:val="32"/>
          <w:szCs w:val="32"/>
          <w:lang w:val="en-US" w:eastAsia="zh-CN"/>
        </w:rPr>
        <w:t>1.</w:t>
      </w:r>
      <w:r>
        <w:rPr>
          <w:rFonts w:hint="eastAsia" w:ascii="仿宋" w:hAnsi="仿宋" w:eastAsia="仿宋" w:cs="仿宋"/>
          <w:sz w:val="32"/>
          <w:szCs w:val="32"/>
          <w:lang w:val="zh-CN"/>
        </w:rPr>
        <w:t>商务响应偏离表</w:t>
      </w:r>
      <w:bookmarkEnd w:id="349"/>
      <w:bookmarkEnd w:id="350"/>
    </w:p>
    <w:p w14:paraId="50811C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项目名称：</w:t>
      </w:r>
    </w:p>
    <w:p w14:paraId="629459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项目编号：</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380"/>
        <w:gridCol w:w="2224"/>
        <w:gridCol w:w="1341"/>
        <w:gridCol w:w="1858"/>
      </w:tblGrid>
      <w:tr w14:paraId="1679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9" w:type="pct"/>
            <w:shd w:val="clear" w:color="auto" w:fill="BEBEBE" w:themeFill="background1" w:themeFillShade="BF"/>
            <w:vAlign w:val="center"/>
          </w:tcPr>
          <w:p w14:paraId="57DD724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397" w:type="pct"/>
            <w:shd w:val="clear" w:color="auto" w:fill="BEBEBE" w:themeFill="background1" w:themeFillShade="BF"/>
            <w:vAlign w:val="center"/>
          </w:tcPr>
          <w:p w14:paraId="2B2A3D2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招标文件的商务条款</w:t>
            </w:r>
          </w:p>
        </w:tc>
        <w:tc>
          <w:tcPr>
            <w:tcW w:w="1305" w:type="pct"/>
            <w:shd w:val="clear" w:color="auto" w:fill="BEBEBE" w:themeFill="background1" w:themeFillShade="BF"/>
            <w:vAlign w:val="center"/>
          </w:tcPr>
          <w:p w14:paraId="0BF64C9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投标文件的响应内容</w:t>
            </w:r>
          </w:p>
        </w:tc>
        <w:tc>
          <w:tcPr>
            <w:tcW w:w="787" w:type="pct"/>
            <w:shd w:val="clear" w:color="auto" w:fill="BEBEBE" w:themeFill="background1" w:themeFillShade="BF"/>
            <w:vAlign w:val="center"/>
          </w:tcPr>
          <w:p w14:paraId="7FFDBC8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响应情况</w:t>
            </w:r>
          </w:p>
        </w:tc>
        <w:tc>
          <w:tcPr>
            <w:tcW w:w="1090" w:type="pct"/>
            <w:shd w:val="clear" w:color="auto" w:fill="BEBEBE" w:themeFill="background1" w:themeFillShade="BF"/>
            <w:vAlign w:val="center"/>
          </w:tcPr>
          <w:p w14:paraId="6747FB8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说明及索引</w:t>
            </w:r>
          </w:p>
        </w:tc>
      </w:tr>
      <w:tr w14:paraId="59D3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9" w:type="pct"/>
            <w:vAlign w:val="center"/>
          </w:tcPr>
          <w:p w14:paraId="3FD8E07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1397" w:type="pct"/>
            <w:vAlign w:val="center"/>
          </w:tcPr>
          <w:p w14:paraId="4AAEEE5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305" w:type="pct"/>
            <w:vAlign w:val="center"/>
          </w:tcPr>
          <w:p w14:paraId="0CA2EB9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87" w:type="pct"/>
            <w:vAlign w:val="center"/>
          </w:tcPr>
          <w:p w14:paraId="391FF63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响应/偏离</w:t>
            </w:r>
          </w:p>
        </w:tc>
        <w:tc>
          <w:tcPr>
            <w:tcW w:w="1090" w:type="pct"/>
            <w:vAlign w:val="center"/>
          </w:tcPr>
          <w:p w14:paraId="016B77E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2EDA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9" w:type="pct"/>
            <w:vAlign w:val="center"/>
          </w:tcPr>
          <w:p w14:paraId="2373927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1397" w:type="pct"/>
            <w:vAlign w:val="center"/>
          </w:tcPr>
          <w:p w14:paraId="7DF60DC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305" w:type="pct"/>
            <w:vAlign w:val="center"/>
          </w:tcPr>
          <w:p w14:paraId="6CFA861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87" w:type="pct"/>
            <w:vAlign w:val="center"/>
          </w:tcPr>
          <w:p w14:paraId="01CB912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90" w:type="pct"/>
            <w:vAlign w:val="center"/>
          </w:tcPr>
          <w:p w14:paraId="2ACE6F7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4897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9" w:type="pct"/>
            <w:vAlign w:val="center"/>
          </w:tcPr>
          <w:p w14:paraId="0BE474F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3</w:t>
            </w:r>
          </w:p>
        </w:tc>
        <w:tc>
          <w:tcPr>
            <w:tcW w:w="1397" w:type="pct"/>
            <w:vAlign w:val="center"/>
          </w:tcPr>
          <w:p w14:paraId="709D404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305" w:type="pct"/>
            <w:vAlign w:val="center"/>
          </w:tcPr>
          <w:p w14:paraId="073961F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87" w:type="pct"/>
            <w:vAlign w:val="center"/>
          </w:tcPr>
          <w:p w14:paraId="6975842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90" w:type="pct"/>
            <w:vAlign w:val="center"/>
          </w:tcPr>
          <w:p w14:paraId="29F7842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5F77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9" w:type="pct"/>
          </w:tcPr>
          <w:p w14:paraId="2373AF40">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397" w:type="pct"/>
          </w:tcPr>
          <w:p w14:paraId="2F33EAD2">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305" w:type="pct"/>
          </w:tcPr>
          <w:p w14:paraId="3BAD031F">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787" w:type="pct"/>
          </w:tcPr>
          <w:p w14:paraId="52879DF9">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090" w:type="pct"/>
          </w:tcPr>
          <w:p w14:paraId="1A2C6495">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r>
      <w:tr w14:paraId="2D7B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9" w:type="pct"/>
          </w:tcPr>
          <w:p w14:paraId="791F3882">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397" w:type="pct"/>
          </w:tcPr>
          <w:p w14:paraId="26BF0D7A">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305" w:type="pct"/>
          </w:tcPr>
          <w:p w14:paraId="2853ED26">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787" w:type="pct"/>
          </w:tcPr>
          <w:p w14:paraId="7C5C3795">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090" w:type="pct"/>
          </w:tcPr>
          <w:p w14:paraId="59ECA27F">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r>
      <w:tr w14:paraId="6966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9" w:type="pct"/>
          </w:tcPr>
          <w:p w14:paraId="3B58059C">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397" w:type="pct"/>
          </w:tcPr>
          <w:p w14:paraId="00905765">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305" w:type="pct"/>
          </w:tcPr>
          <w:p w14:paraId="1ABD791C">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787" w:type="pct"/>
          </w:tcPr>
          <w:p w14:paraId="1DA040B9">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090" w:type="pct"/>
          </w:tcPr>
          <w:p w14:paraId="2EA1FA05">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r>
      <w:tr w14:paraId="34B2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9" w:type="pct"/>
          </w:tcPr>
          <w:p w14:paraId="11D3B498">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397" w:type="pct"/>
          </w:tcPr>
          <w:p w14:paraId="2950C6C7">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305" w:type="pct"/>
          </w:tcPr>
          <w:p w14:paraId="56CBDB85">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787" w:type="pct"/>
          </w:tcPr>
          <w:p w14:paraId="0301C945">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090" w:type="pct"/>
          </w:tcPr>
          <w:p w14:paraId="6D770A9E">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r>
      <w:tr w14:paraId="5211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9" w:type="pct"/>
          </w:tcPr>
          <w:p w14:paraId="5C13A3F8">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397" w:type="pct"/>
          </w:tcPr>
          <w:p w14:paraId="4328480E">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305" w:type="pct"/>
          </w:tcPr>
          <w:p w14:paraId="3467CDAE">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787" w:type="pct"/>
          </w:tcPr>
          <w:p w14:paraId="3A933BAE">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c>
          <w:tcPr>
            <w:tcW w:w="1090" w:type="pct"/>
          </w:tcPr>
          <w:p w14:paraId="3C767C62">
            <w:pPr>
              <w:pStyle w:val="3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p>
        </w:tc>
      </w:tr>
      <w:tr w14:paraId="6AC1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19" w:type="pct"/>
            <w:vAlign w:val="center"/>
          </w:tcPr>
          <w:p w14:paraId="66F1BEB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1397" w:type="pct"/>
            <w:vAlign w:val="center"/>
          </w:tcPr>
          <w:p w14:paraId="0AD51ED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1305" w:type="pct"/>
            <w:vAlign w:val="center"/>
          </w:tcPr>
          <w:p w14:paraId="7E7EC1A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787" w:type="pct"/>
            <w:vAlign w:val="center"/>
          </w:tcPr>
          <w:p w14:paraId="2C9CA92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1090" w:type="pct"/>
            <w:vAlign w:val="center"/>
          </w:tcPr>
          <w:p w14:paraId="7EAC205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bl>
    <w:p w14:paraId="252C7801">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注：</w:t>
      </w:r>
    </w:p>
    <w:p w14:paraId="175172A9">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投标人应按照招标文件第三章 采购需求</w:t>
      </w:r>
      <w:r>
        <w:rPr>
          <w:rFonts w:hint="eastAsia" w:ascii="仿宋" w:hAnsi="仿宋" w:eastAsia="仿宋" w:cs="仿宋"/>
          <w:sz w:val="24"/>
          <w:szCs w:val="24"/>
          <w:lang w:val="en-US" w:eastAsia="zh-CN"/>
        </w:rPr>
        <w:t>中</w:t>
      </w:r>
      <w:r>
        <w:rPr>
          <w:rFonts w:hint="eastAsia" w:ascii="仿宋" w:hAnsi="仿宋" w:eastAsia="仿宋" w:cs="仿宋"/>
          <w:sz w:val="24"/>
          <w:szCs w:val="24"/>
        </w:rPr>
        <w:t>“商务要求”填写。</w:t>
      </w:r>
    </w:p>
    <w:p w14:paraId="44428235">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sz w:val="24"/>
          <w:szCs w:val="24"/>
        </w:rPr>
      </w:pPr>
    </w:p>
    <w:p w14:paraId="27494AAE">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sz w:val="24"/>
          <w:szCs w:val="24"/>
        </w:rPr>
      </w:pPr>
    </w:p>
    <w:p w14:paraId="59B04C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投标人</w:t>
      </w:r>
      <w:r>
        <w:rPr>
          <w:rFonts w:hint="eastAsia" w:ascii="仿宋" w:hAnsi="仿宋" w:eastAsia="仿宋" w:cs="仿宋"/>
          <w:sz w:val="24"/>
          <w:szCs w:val="32"/>
        </w:rPr>
        <w:t xml:space="preserve">名称（盖章）：                       </w:t>
      </w:r>
    </w:p>
    <w:p w14:paraId="17F6D2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 xml:space="preserve">法定代表人或委托代理人(签字或签章)：         </w:t>
      </w:r>
    </w:p>
    <w:p w14:paraId="2FCA9F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 xml:space="preserve">日  期：                                   </w:t>
      </w:r>
    </w:p>
    <w:p w14:paraId="09663EA1">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sz w:val="24"/>
          <w:szCs w:val="24"/>
        </w:rPr>
      </w:pPr>
    </w:p>
    <w:p w14:paraId="233CBCEF">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sz w:val="24"/>
          <w:szCs w:val="24"/>
          <w:lang w:val="en-US" w:eastAsia="zh-CN"/>
        </w:rPr>
      </w:pPr>
    </w:p>
    <w:p w14:paraId="1C1334D8">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sz w:val="24"/>
          <w:szCs w:val="24"/>
          <w:lang w:val="en-US" w:eastAsia="zh-CN"/>
        </w:rPr>
      </w:pPr>
    </w:p>
    <w:p w14:paraId="7EB268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bookmarkStart w:id="351" w:name="_Toc163492930"/>
      <w:r>
        <w:rPr>
          <w:rFonts w:hint="eastAsia" w:ascii="仿宋" w:hAnsi="仿宋" w:eastAsia="仿宋" w:cs="仿宋"/>
          <w:sz w:val="24"/>
          <w:szCs w:val="24"/>
          <w:lang w:val="en-US" w:eastAsia="zh-CN"/>
        </w:rPr>
        <w:br w:type="page"/>
      </w:r>
    </w:p>
    <w:p w14:paraId="241B42C4">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en-US" w:eastAsia="zh-CN"/>
        </w:rPr>
      </w:pPr>
      <w:bookmarkStart w:id="352" w:name="_Toc22602"/>
      <w:r>
        <w:rPr>
          <w:rFonts w:hint="eastAsia" w:ascii="仿宋" w:hAnsi="仿宋" w:eastAsia="仿宋" w:cs="仿宋"/>
          <w:sz w:val="32"/>
          <w:szCs w:val="32"/>
          <w:lang w:val="en-US" w:eastAsia="zh-CN"/>
        </w:rPr>
        <w:t>2.业绩证明文件</w:t>
      </w:r>
      <w:bookmarkEnd w:id="351"/>
      <w:bookmarkEnd w:id="352"/>
    </w:p>
    <w:p w14:paraId="58E296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项目名称：</w:t>
      </w:r>
    </w:p>
    <w:p w14:paraId="54E79F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项目编号：</w:t>
      </w:r>
    </w:p>
    <w:tbl>
      <w:tblPr>
        <w:tblStyle w:val="4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288"/>
        <w:gridCol w:w="1288"/>
        <w:gridCol w:w="1288"/>
        <w:gridCol w:w="1288"/>
        <w:gridCol w:w="1290"/>
        <w:gridCol w:w="1294"/>
      </w:tblGrid>
      <w:tr w14:paraId="2F76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7" w:type="pct"/>
            <w:shd w:val="clear" w:color="auto" w:fill="BEBEBE" w:themeFill="background1" w:themeFillShade="BF"/>
            <w:vAlign w:val="center"/>
          </w:tcPr>
          <w:p w14:paraId="7A05B5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bookmarkStart w:id="353" w:name="_Hlk46779239"/>
            <w:r>
              <w:rPr>
                <w:rFonts w:hint="eastAsia" w:ascii="仿宋" w:hAnsi="仿宋" w:eastAsia="仿宋" w:cs="仿宋"/>
                <w:b/>
                <w:bCs/>
                <w:sz w:val="24"/>
                <w:szCs w:val="24"/>
              </w:rPr>
              <w:t>序号</w:t>
            </w:r>
          </w:p>
        </w:tc>
        <w:tc>
          <w:tcPr>
            <w:tcW w:w="756" w:type="pct"/>
            <w:shd w:val="clear" w:color="auto" w:fill="BEBEBE" w:themeFill="background1" w:themeFillShade="BF"/>
            <w:vAlign w:val="center"/>
          </w:tcPr>
          <w:p w14:paraId="66D5E1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完成时间</w:t>
            </w:r>
          </w:p>
        </w:tc>
        <w:tc>
          <w:tcPr>
            <w:tcW w:w="756" w:type="pct"/>
            <w:shd w:val="clear" w:color="auto" w:fill="BEBEBE" w:themeFill="background1" w:themeFillShade="BF"/>
            <w:vAlign w:val="center"/>
          </w:tcPr>
          <w:p w14:paraId="38FA02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项目名称</w:t>
            </w:r>
          </w:p>
        </w:tc>
        <w:tc>
          <w:tcPr>
            <w:tcW w:w="756" w:type="pct"/>
            <w:shd w:val="clear" w:color="auto" w:fill="BEBEBE" w:themeFill="background1" w:themeFillShade="BF"/>
            <w:vAlign w:val="center"/>
          </w:tcPr>
          <w:p w14:paraId="100294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服务内容</w:t>
            </w:r>
          </w:p>
        </w:tc>
        <w:tc>
          <w:tcPr>
            <w:tcW w:w="756" w:type="pct"/>
            <w:shd w:val="clear" w:color="auto" w:fill="BEBEBE" w:themeFill="background1" w:themeFillShade="BF"/>
            <w:vAlign w:val="center"/>
          </w:tcPr>
          <w:p w14:paraId="3EC38B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甲方名称</w:t>
            </w:r>
          </w:p>
        </w:tc>
        <w:tc>
          <w:tcPr>
            <w:tcW w:w="757" w:type="pct"/>
            <w:shd w:val="clear" w:color="auto" w:fill="BEBEBE" w:themeFill="background1" w:themeFillShade="BF"/>
            <w:vAlign w:val="center"/>
          </w:tcPr>
          <w:p w14:paraId="52FEEF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联系人</w:t>
            </w:r>
          </w:p>
        </w:tc>
        <w:tc>
          <w:tcPr>
            <w:tcW w:w="759" w:type="pct"/>
            <w:shd w:val="clear" w:color="auto" w:fill="BEBEBE" w:themeFill="background1" w:themeFillShade="BF"/>
            <w:vAlign w:val="center"/>
          </w:tcPr>
          <w:p w14:paraId="3B1EF1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联系电话</w:t>
            </w:r>
          </w:p>
        </w:tc>
      </w:tr>
      <w:tr w14:paraId="3512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7" w:type="pct"/>
            <w:vAlign w:val="center"/>
          </w:tcPr>
          <w:p w14:paraId="584E2B8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756" w:type="pct"/>
            <w:vAlign w:val="center"/>
          </w:tcPr>
          <w:p w14:paraId="77B6BF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30A5A1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464129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78AB4E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7" w:type="pct"/>
            <w:vAlign w:val="center"/>
          </w:tcPr>
          <w:p w14:paraId="22D4AC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9" w:type="pct"/>
            <w:vAlign w:val="center"/>
          </w:tcPr>
          <w:p w14:paraId="7E593F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575D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7" w:type="pct"/>
            <w:vAlign w:val="center"/>
          </w:tcPr>
          <w:p w14:paraId="2ABEFE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756" w:type="pct"/>
            <w:vAlign w:val="center"/>
          </w:tcPr>
          <w:p w14:paraId="55B6CA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7BE2F6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3AE225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11C34E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7" w:type="pct"/>
            <w:vAlign w:val="center"/>
          </w:tcPr>
          <w:p w14:paraId="36A558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9" w:type="pct"/>
            <w:vAlign w:val="center"/>
          </w:tcPr>
          <w:p w14:paraId="79B14E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321A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7" w:type="pct"/>
            <w:vAlign w:val="center"/>
          </w:tcPr>
          <w:p w14:paraId="0E7EFE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3</w:t>
            </w:r>
          </w:p>
        </w:tc>
        <w:tc>
          <w:tcPr>
            <w:tcW w:w="756" w:type="pct"/>
            <w:vAlign w:val="center"/>
          </w:tcPr>
          <w:p w14:paraId="2BBF43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1DBFE5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28D137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501E47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7" w:type="pct"/>
            <w:vAlign w:val="center"/>
          </w:tcPr>
          <w:p w14:paraId="4175C6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9" w:type="pct"/>
            <w:vAlign w:val="center"/>
          </w:tcPr>
          <w:p w14:paraId="629A1B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5D3C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7" w:type="pct"/>
            <w:vAlign w:val="center"/>
          </w:tcPr>
          <w:p w14:paraId="1D1D24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756" w:type="pct"/>
            <w:vAlign w:val="center"/>
          </w:tcPr>
          <w:p w14:paraId="06543B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2C9180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185B1E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6" w:type="pct"/>
            <w:vAlign w:val="center"/>
          </w:tcPr>
          <w:p w14:paraId="7E935B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7" w:type="pct"/>
            <w:vAlign w:val="center"/>
          </w:tcPr>
          <w:p w14:paraId="1F2EA8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59" w:type="pct"/>
            <w:vAlign w:val="center"/>
          </w:tcPr>
          <w:p w14:paraId="014441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bookmarkEnd w:id="353"/>
    </w:tbl>
    <w:p w14:paraId="7EC45B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注：</w:t>
      </w:r>
    </w:p>
    <w:p w14:paraId="6ABE2C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投标人须按上表提供相应的业绩证明资料。</w:t>
      </w:r>
    </w:p>
    <w:p w14:paraId="535F16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14:paraId="6E801C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14:paraId="7E5B52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投标人</w:t>
      </w:r>
      <w:r>
        <w:rPr>
          <w:rFonts w:hint="eastAsia" w:ascii="仿宋" w:hAnsi="仿宋" w:eastAsia="仿宋" w:cs="仿宋"/>
          <w:sz w:val="24"/>
          <w:szCs w:val="32"/>
        </w:rPr>
        <w:t xml:space="preserve">名称（盖章）：                       </w:t>
      </w:r>
    </w:p>
    <w:p w14:paraId="1B9956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 xml:space="preserve">法定代表人或委托代理人(签字或签章)：         </w:t>
      </w:r>
    </w:p>
    <w:p w14:paraId="227DCE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 xml:space="preserve">日  期：                                   </w:t>
      </w:r>
    </w:p>
    <w:p w14:paraId="01CB91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p>
    <w:p w14:paraId="111405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p w14:paraId="6E744B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p w14:paraId="524D45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14:paraId="529650D0">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en-US" w:eastAsia="zh-CN"/>
        </w:rPr>
      </w:pPr>
      <w:bookmarkStart w:id="354" w:name="_Toc163492931"/>
      <w:bookmarkStart w:id="355" w:name="_Toc8521"/>
      <w:r>
        <w:rPr>
          <w:rFonts w:hint="eastAsia" w:ascii="仿宋" w:hAnsi="仿宋" w:eastAsia="仿宋" w:cs="仿宋"/>
          <w:sz w:val="32"/>
          <w:szCs w:val="32"/>
          <w:lang w:val="en-US" w:eastAsia="zh-CN"/>
        </w:rPr>
        <w:t>3.拟派项目团队</w:t>
      </w:r>
      <w:bookmarkEnd w:id="354"/>
      <w:bookmarkEnd w:id="355"/>
    </w:p>
    <w:tbl>
      <w:tblPr>
        <w:tblStyle w:val="4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7"/>
        <w:gridCol w:w="1181"/>
        <w:gridCol w:w="1766"/>
        <w:gridCol w:w="1104"/>
        <w:gridCol w:w="1028"/>
        <w:gridCol w:w="1106"/>
        <w:gridCol w:w="1645"/>
      </w:tblGrid>
      <w:tr w14:paraId="08AA3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shd w:val="clear" w:color="auto" w:fill="BEBEBE" w:themeFill="background1" w:themeFillShade="BF"/>
            <w:vAlign w:val="center"/>
          </w:tcPr>
          <w:p w14:paraId="17D97D4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序号</w:t>
            </w:r>
          </w:p>
        </w:tc>
        <w:tc>
          <w:tcPr>
            <w:tcW w:w="693" w:type="pct"/>
            <w:shd w:val="clear" w:color="auto" w:fill="BEBEBE" w:themeFill="background1" w:themeFillShade="BF"/>
            <w:vAlign w:val="center"/>
          </w:tcPr>
          <w:p w14:paraId="1F88834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专家姓名</w:t>
            </w:r>
          </w:p>
        </w:tc>
        <w:tc>
          <w:tcPr>
            <w:tcW w:w="1036" w:type="pct"/>
            <w:tcBorders>
              <w:right w:val="single" w:color="auto" w:sz="4" w:space="0"/>
            </w:tcBorders>
            <w:shd w:val="clear" w:color="auto" w:fill="BEBEBE" w:themeFill="background1" w:themeFillShade="BF"/>
            <w:vAlign w:val="center"/>
          </w:tcPr>
          <w:p w14:paraId="675877A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工作单位</w:t>
            </w:r>
          </w:p>
        </w:tc>
        <w:tc>
          <w:tcPr>
            <w:tcW w:w="648" w:type="pct"/>
            <w:tcBorders>
              <w:left w:val="single" w:color="auto" w:sz="4" w:space="0"/>
            </w:tcBorders>
            <w:shd w:val="clear" w:color="auto" w:fill="BEBEBE" w:themeFill="background1" w:themeFillShade="BF"/>
            <w:vAlign w:val="center"/>
          </w:tcPr>
          <w:p w14:paraId="617711E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身份证号</w:t>
            </w:r>
          </w:p>
        </w:tc>
        <w:tc>
          <w:tcPr>
            <w:tcW w:w="603" w:type="pct"/>
            <w:tcBorders>
              <w:left w:val="single" w:color="auto" w:sz="4" w:space="0"/>
            </w:tcBorders>
            <w:shd w:val="clear" w:color="auto" w:fill="BEBEBE" w:themeFill="background1" w:themeFillShade="BF"/>
            <w:vAlign w:val="center"/>
          </w:tcPr>
          <w:p w14:paraId="5413581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职称</w:t>
            </w:r>
          </w:p>
        </w:tc>
        <w:tc>
          <w:tcPr>
            <w:tcW w:w="649" w:type="pct"/>
            <w:shd w:val="clear" w:color="auto" w:fill="BEBEBE" w:themeFill="background1" w:themeFillShade="BF"/>
            <w:vAlign w:val="center"/>
          </w:tcPr>
          <w:p w14:paraId="0025C1B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研究专长</w:t>
            </w:r>
          </w:p>
        </w:tc>
        <w:tc>
          <w:tcPr>
            <w:tcW w:w="965" w:type="pct"/>
            <w:shd w:val="clear" w:color="auto" w:fill="BEBEBE" w:themeFill="background1" w:themeFillShade="BF"/>
            <w:vAlign w:val="center"/>
          </w:tcPr>
          <w:p w14:paraId="7A94644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自有/外聘</w:t>
            </w:r>
          </w:p>
        </w:tc>
      </w:tr>
      <w:tr w14:paraId="488A7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vAlign w:val="center"/>
          </w:tcPr>
          <w:p w14:paraId="6299A73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bookmarkStart w:id="356" w:name="_Toc100090784"/>
            <w:bookmarkStart w:id="357" w:name="_Toc99533292"/>
            <w:r>
              <w:rPr>
                <w:rFonts w:hint="eastAsia" w:ascii="仿宋" w:hAnsi="仿宋" w:eastAsia="仿宋" w:cs="仿宋"/>
                <w:sz w:val="24"/>
                <w:szCs w:val="24"/>
              </w:rPr>
              <w:t>1</w:t>
            </w:r>
            <w:bookmarkEnd w:id="356"/>
            <w:bookmarkEnd w:id="357"/>
          </w:p>
        </w:tc>
        <w:tc>
          <w:tcPr>
            <w:tcW w:w="693" w:type="pct"/>
            <w:vAlign w:val="center"/>
          </w:tcPr>
          <w:p w14:paraId="6F58B02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36" w:type="pct"/>
            <w:tcBorders>
              <w:right w:val="single" w:color="auto" w:sz="4" w:space="0"/>
            </w:tcBorders>
            <w:vAlign w:val="center"/>
          </w:tcPr>
          <w:p w14:paraId="6088F04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8" w:type="pct"/>
            <w:tcBorders>
              <w:left w:val="single" w:color="auto" w:sz="4" w:space="0"/>
            </w:tcBorders>
            <w:vAlign w:val="center"/>
          </w:tcPr>
          <w:p w14:paraId="5CFC735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03" w:type="pct"/>
            <w:tcBorders>
              <w:left w:val="single" w:color="auto" w:sz="4" w:space="0"/>
            </w:tcBorders>
            <w:vAlign w:val="center"/>
          </w:tcPr>
          <w:p w14:paraId="5F2387F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9" w:type="pct"/>
            <w:vAlign w:val="center"/>
          </w:tcPr>
          <w:p w14:paraId="6B5B655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5" w:type="pct"/>
            <w:vAlign w:val="center"/>
          </w:tcPr>
          <w:p w14:paraId="442B552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1C906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vAlign w:val="center"/>
          </w:tcPr>
          <w:p w14:paraId="5F3934C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bookmarkStart w:id="358" w:name="_Toc100090785"/>
            <w:bookmarkStart w:id="359" w:name="_Toc99533293"/>
            <w:r>
              <w:rPr>
                <w:rFonts w:hint="eastAsia" w:ascii="仿宋" w:hAnsi="仿宋" w:eastAsia="仿宋" w:cs="仿宋"/>
                <w:sz w:val="24"/>
                <w:szCs w:val="24"/>
              </w:rPr>
              <w:t>2</w:t>
            </w:r>
            <w:bookmarkEnd w:id="358"/>
            <w:bookmarkEnd w:id="359"/>
          </w:p>
        </w:tc>
        <w:tc>
          <w:tcPr>
            <w:tcW w:w="693" w:type="pct"/>
            <w:vAlign w:val="center"/>
          </w:tcPr>
          <w:p w14:paraId="6DB1C8E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36" w:type="pct"/>
            <w:tcBorders>
              <w:right w:val="single" w:color="auto" w:sz="4" w:space="0"/>
            </w:tcBorders>
            <w:vAlign w:val="center"/>
          </w:tcPr>
          <w:p w14:paraId="1489913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8" w:type="pct"/>
            <w:tcBorders>
              <w:left w:val="single" w:color="auto" w:sz="4" w:space="0"/>
            </w:tcBorders>
            <w:vAlign w:val="center"/>
          </w:tcPr>
          <w:p w14:paraId="7DE6605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03" w:type="pct"/>
            <w:tcBorders>
              <w:left w:val="single" w:color="auto" w:sz="4" w:space="0"/>
            </w:tcBorders>
            <w:vAlign w:val="center"/>
          </w:tcPr>
          <w:p w14:paraId="53BACD4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9" w:type="pct"/>
            <w:vAlign w:val="center"/>
          </w:tcPr>
          <w:p w14:paraId="23A4AAA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5" w:type="pct"/>
            <w:vAlign w:val="center"/>
          </w:tcPr>
          <w:p w14:paraId="1F2D961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62D1C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vAlign w:val="center"/>
          </w:tcPr>
          <w:p w14:paraId="71365FD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bookmarkStart w:id="360" w:name="_Toc100090786"/>
            <w:bookmarkStart w:id="361" w:name="_Toc99533294"/>
            <w:r>
              <w:rPr>
                <w:rFonts w:hint="eastAsia" w:ascii="仿宋" w:hAnsi="仿宋" w:eastAsia="仿宋" w:cs="仿宋"/>
                <w:sz w:val="24"/>
                <w:szCs w:val="24"/>
              </w:rPr>
              <w:t>3</w:t>
            </w:r>
            <w:bookmarkEnd w:id="360"/>
            <w:bookmarkEnd w:id="361"/>
          </w:p>
        </w:tc>
        <w:tc>
          <w:tcPr>
            <w:tcW w:w="693" w:type="pct"/>
            <w:vAlign w:val="center"/>
          </w:tcPr>
          <w:p w14:paraId="289D41B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36" w:type="pct"/>
            <w:tcBorders>
              <w:right w:val="single" w:color="auto" w:sz="4" w:space="0"/>
            </w:tcBorders>
            <w:vAlign w:val="center"/>
          </w:tcPr>
          <w:p w14:paraId="2F767BD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8" w:type="pct"/>
            <w:tcBorders>
              <w:left w:val="single" w:color="auto" w:sz="4" w:space="0"/>
            </w:tcBorders>
            <w:vAlign w:val="center"/>
          </w:tcPr>
          <w:p w14:paraId="303B8FF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03" w:type="pct"/>
            <w:tcBorders>
              <w:left w:val="single" w:color="auto" w:sz="4" w:space="0"/>
            </w:tcBorders>
            <w:vAlign w:val="center"/>
          </w:tcPr>
          <w:p w14:paraId="269089E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9" w:type="pct"/>
            <w:vAlign w:val="center"/>
          </w:tcPr>
          <w:p w14:paraId="5C4ACC1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5" w:type="pct"/>
            <w:vAlign w:val="center"/>
          </w:tcPr>
          <w:p w14:paraId="63307CF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7F788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vAlign w:val="center"/>
          </w:tcPr>
          <w:p w14:paraId="23119C2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bookmarkStart w:id="362" w:name="_Toc100090787"/>
            <w:bookmarkStart w:id="363" w:name="_Toc99533295"/>
            <w:r>
              <w:rPr>
                <w:rFonts w:hint="eastAsia" w:ascii="仿宋" w:hAnsi="仿宋" w:eastAsia="仿宋" w:cs="仿宋"/>
                <w:sz w:val="24"/>
                <w:szCs w:val="24"/>
              </w:rPr>
              <w:t>4</w:t>
            </w:r>
            <w:bookmarkEnd w:id="362"/>
            <w:bookmarkEnd w:id="363"/>
          </w:p>
        </w:tc>
        <w:tc>
          <w:tcPr>
            <w:tcW w:w="693" w:type="pct"/>
            <w:vAlign w:val="center"/>
          </w:tcPr>
          <w:p w14:paraId="28E2C49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36" w:type="pct"/>
            <w:tcBorders>
              <w:right w:val="single" w:color="auto" w:sz="4" w:space="0"/>
            </w:tcBorders>
            <w:vAlign w:val="center"/>
          </w:tcPr>
          <w:p w14:paraId="6A9166D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8" w:type="pct"/>
            <w:tcBorders>
              <w:left w:val="single" w:color="auto" w:sz="4" w:space="0"/>
            </w:tcBorders>
            <w:vAlign w:val="center"/>
          </w:tcPr>
          <w:p w14:paraId="3E6507B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03" w:type="pct"/>
            <w:tcBorders>
              <w:left w:val="single" w:color="auto" w:sz="4" w:space="0"/>
            </w:tcBorders>
            <w:vAlign w:val="center"/>
          </w:tcPr>
          <w:p w14:paraId="00647CC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9" w:type="pct"/>
            <w:vAlign w:val="center"/>
          </w:tcPr>
          <w:p w14:paraId="53AEBC3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5" w:type="pct"/>
            <w:vAlign w:val="center"/>
          </w:tcPr>
          <w:p w14:paraId="7E47CBB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5A31A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vAlign w:val="center"/>
          </w:tcPr>
          <w:p w14:paraId="480BCCB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bookmarkStart w:id="364" w:name="_Toc100090788"/>
            <w:bookmarkStart w:id="365" w:name="_Toc99533296"/>
            <w:r>
              <w:rPr>
                <w:rFonts w:hint="eastAsia" w:ascii="仿宋" w:hAnsi="仿宋" w:eastAsia="仿宋" w:cs="仿宋"/>
                <w:sz w:val="24"/>
                <w:szCs w:val="24"/>
              </w:rPr>
              <w:t>5</w:t>
            </w:r>
            <w:bookmarkEnd w:id="364"/>
            <w:bookmarkEnd w:id="365"/>
          </w:p>
        </w:tc>
        <w:tc>
          <w:tcPr>
            <w:tcW w:w="693" w:type="pct"/>
            <w:vAlign w:val="center"/>
          </w:tcPr>
          <w:p w14:paraId="499BB69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36" w:type="pct"/>
            <w:tcBorders>
              <w:right w:val="single" w:color="auto" w:sz="4" w:space="0"/>
            </w:tcBorders>
            <w:vAlign w:val="center"/>
          </w:tcPr>
          <w:p w14:paraId="784A070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8" w:type="pct"/>
            <w:tcBorders>
              <w:left w:val="single" w:color="auto" w:sz="4" w:space="0"/>
            </w:tcBorders>
            <w:vAlign w:val="center"/>
          </w:tcPr>
          <w:p w14:paraId="222BAAE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03" w:type="pct"/>
            <w:tcBorders>
              <w:left w:val="single" w:color="auto" w:sz="4" w:space="0"/>
            </w:tcBorders>
            <w:vAlign w:val="center"/>
          </w:tcPr>
          <w:p w14:paraId="07CA227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9" w:type="pct"/>
            <w:vAlign w:val="center"/>
          </w:tcPr>
          <w:p w14:paraId="3BFABB2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5" w:type="pct"/>
            <w:vAlign w:val="center"/>
          </w:tcPr>
          <w:p w14:paraId="40E1927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70D9A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vAlign w:val="center"/>
          </w:tcPr>
          <w:p w14:paraId="33CBB3D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bookmarkStart w:id="366" w:name="_Toc99533297"/>
            <w:bookmarkStart w:id="367" w:name="_Toc100090789"/>
            <w:r>
              <w:rPr>
                <w:rFonts w:hint="eastAsia" w:ascii="仿宋" w:hAnsi="仿宋" w:eastAsia="仿宋" w:cs="仿宋"/>
                <w:sz w:val="24"/>
                <w:szCs w:val="24"/>
              </w:rPr>
              <w:t>6</w:t>
            </w:r>
            <w:bookmarkEnd w:id="366"/>
            <w:bookmarkEnd w:id="367"/>
          </w:p>
        </w:tc>
        <w:tc>
          <w:tcPr>
            <w:tcW w:w="693" w:type="pct"/>
            <w:vAlign w:val="center"/>
          </w:tcPr>
          <w:p w14:paraId="2BD2A8A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36" w:type="pct"/>
            <w:tcBorders>
              <w:right w:val="single" w:color="auto" w:sz="4" w:space="0"/>
            </w:tcBorders>
            <w:vAlign w:val="center"/>
          </w:tcPr>
          <w:p w14:paraId="194C30C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8" w:type="pct"/>
            <w:tcBorders>
              <w:left w:val="single" w:color="auto" w:sz="4" w:space="0"/>
            </w:tcBorders>
            <w:vAlign w:val="center"/>
          </w:tcPr>
          <w:p w14:paraId="24DA3B0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03" w:type="pct"/>
            <w:tcBorders>
              <w:left w:val="single" w:color="auto" w:sz="4" w:space="0"/>
            </w:tcBorders>
            <w:vAlign w:val="center"/>
          </w:tcPr>
          <w:p w14:paraId="2D3524E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9" w:type="pct"/>
            <w:vAlign w:val="center"/>
          </w:tcPr>
          <w:p w14:paraId="569BDEB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5" w:type="pct"/>
            <w:vAlign w:val="center"/>
          </w:tcPr>
          <w:p w14:paraId="51616E4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4FB4F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vAlign w:val="center"/>
          </w:tcPr>
          <w:p w14:paraId="14198AA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bookmarkStart w:id="368" w:name="_Toc100090790"/>
            <w:bookmarkStart w:id="369" w:name="_Toc99533298"/>
            <w:r>
              <w:rPr>
                <w:rFonts w:hint="eastAsia" w:ascii="仿宋" w:hAnsi="仿宋" w:eastAsia="仿宋" w:cs="仿宋"/>
                <w:sz w:val="24"/>
                <w:szCs w:val="24"/>
              </w:rPr>
              <w:t>7</w:t>
            </w:r>
            <w:bookmarkEnd w:id="368"/>
            <w:bookmarkEnd w:id="369"/>
          </w:p>
        </w:tc>
        <w:tc>
          <w:tcPr>
            <w:tcW w:w="693" w:type="pct"/>
            <w:vAlign w:val="center"/>
          </w:tcPr>
          <w:p w14:paraId="0B5E102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36" w:type="pct"/>
            <w:tcBorders>
              <w:right w:val="single" w:color="auto" w:sz="4" w:space="0"/>
            </w:tcBorders>
            <w:vAlign w:val="center"/>
          </w:tcPr>
          <w:p w14:paraId="04BADD8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8" w:type="pct"/>
            <w:tcBorders>
              <w:left w:val="single" w:color="auto" w:sz="4" w:space="0"/>
            </w:tcBorders>
            <w:vAlign w:val="center"/>
          </w:tcPr>
          <w:p w14:paraId="0254D72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03" w:type="pct"/>
            <w:tcBorders>
              <w:left w:val="single" w:color="auto" w:sz="4" w:space="0"/>
            </w:tcBorders>
            <w:vAlign w:val="center"/>
          </w:tcPr>
          <w:p w14:paraId="27D9270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9" w:type="pct"/>
            <w:vAlign w:val="center"/>
          </w:tcPr>
          <w:p w14:paraId="41A662E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5" w:type="pct"/>
            <w:vAlign w:val="center"/>
          </w:tcPr>
          <w:p w14:paraId="30DA3E4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14B73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vAlign w:val="center"/>
          </w:tcPr>
          <w:p w14:paraId="722721A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bookmarkStart w:id="370" w:name="_Toc100090791"/>
            <w:bookmarkStart w:id="371" w:name="_Toc99533299"/>
            <w:r>
              <w:rPr>
                <w:rFonts w:hint="eastAsia" w:ascii="仿宋" w:hAnsi="仿宋" w:eastAsia="仿宋" w:cs="仿宋"/>
                <w:sz w:val="24"/>
                <w:szCs w:val="24"/>
              </w:rPr>
              <w:t>8</w:t>
            </w:r>
            <w:bookmarkEnd w:id="370"/>
            <w:bookmarkEnd w:id="371"/>
          </w:p>
        </w:tc>
        <w:tc>
          <w:tcPr>
            <w:tcW w:w="693" w:type="pct"/>
            <w:vAlign w:val="center"/>
          </w:tcPr>
          <w:p w14:paraId="71FD723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36" w:type="pct"/>
            <w:tcBorders>
              <w:right w:val="single" w:color="auto" w:sz="4" w:space="0"/>
            </w:tcBorders>
            <w:vAlign w:val="center"/>
          </w:tcPr>
          <w:p w14:paraId="3E03F1C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8" w:type="pct"/>
            <w:tcBorders>
              <w:left w:val="single" w:color="auto" w:sz="4" w:space="0"/>
            </w:tcBorders>
            <w:vAlign w:val="center"/>
          </w:tcPr>
          <w:p w14:paraId="3D7FDDB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03" w:type="pct"/>
            <w:tcBorders>
              <w:left w:val="single" w:color="auto" w:sz="4" w:space="0"/>
            </w:tcBorders>
            <w:vAlign w:val="center"/>
          </w:tcPr>
          <w:p w14:paraId="0A5CB17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9" w:type="pct"/>
            <w:vAlign w:val="center"/>
          </w:tcPr>
          <w:p w14:paraId="6E6F2A9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5" w:type="pct"/>
            <w:vAlign w:val="center"/>
          </w:tcPr>
          <w:p w14:paraId="14F8848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64A4B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vAlign w:val="center"/>
          </w:tcPr>
          <w:p w14:paraId="5D90498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bookmarkStart w:id="372" w:name="_Toc99533300"/>
            <w:bookmarkStart w:id="373" w:name="_Toc100090792"/>
            <w:r>
              <w:rPr>
                <w:rFonts w:hint="eastAsia" w:ascii="仿宋" w:hAnsi="仿宋" w:eastAsia="仿宋" w:cs="仿宋"/>
                <w:sz w:val="24"/>
                <w:szCs w:val="24"/>
              </w:rPr>
              <w:t>9</w:t>
            </w:r>
            <w:bookmarkEnd w:id="372"/>
            <w:bookmarkEnd w:id="373"/>
          </w:p>
        </w:tc>
        <w:tc>
          <w:tcPr>
            <w:tcW w:w="693" w:type="pct"/>
            <w:vAlign w:val="center"/>
          </w:tcPr>
          <w:p w14:paraId="73A5F29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36" w:type="pct"/>
            <w:tcBorders>
              <w:right w:val="single" w:color="auto" w:sz="4" w:space="0"/>
            </w:tcBorders>
            <w:vAlign w:val="center"/>
          </w:tcPr>
          <w:p w14:paraId="0DCAC75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8" w:type="pct"/>
            <w:tcBorders>
              <w:left w:val="single" w:color="auto" w:sz="4" w:space="0"/>
            </w:tcBorders>
            <w:vAlign w:val="center"/>
          </w:tcPr>
          <w:p w14:paraId="4631164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03" w:type="pct"/>
            <w:tcBorders>
              <w:left w:val="single" w:color="auto" w:sz="4" w:space="0"/>
            </w:tcBorders>
            <w:vAlign w:val="center"/>
          </w:tcPr>
          <w:p w14:paraId="518CDC4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9" w:type="pct"/>
            <w:vAlign w:val="center"/>
          </w:tcPr>
          <w:p w14:paraId="3CB418C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5" w:type="pct"/>
            <w:vAlign w:val="center"/>
          </w:tcPr>
          <w:p w14:paraId="75072AD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2D1B7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vAlign w:val="center"/>
          </w:tcPr>
          <w:p w14:paraId="1282FE0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bookmarkStart w:id="374" w:name="_Toc100090793"/>
            <w:bookmarkStart w:id="375" w:name="_Toc99533301"/>
            <w:r>
              <w:rPr>
                <w:rFonts w:hint="eastAsia" w:ascii="仿宋" w:hAnsi="仿宋" w:eastAsia="仿宋" w:cs="仿宋"/>
                <w:sz w:val="24"/>
                <w:szCs w:val="24"/>
              </w:rPr>
              <w:t>10</w:t>
            </w:r>
            <w:bookmarkEnd w:id="374"/>
            <w:bookmarkEnd w:id="375"/>
          </w:p>
        </w:tc>
        <w:tc>
          <w:tcPr>
            <w:tcW w:w="693" w:type="pct"/>
            <w:vAlign w:val="center"/>
          </w:tcPr>
          <w:p w14:paraId="5B4C407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036" w:type="pct"/>
            <w:tcBorders>
              <w:right w:val="single" w:color="auto" w:sz="4" w:space="0"/>
            </w:tcBorders>
            <w:vAlign w:val="center"/>
          </w:tcPr>
          <w:p w14:paraId="23EB81E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8" w:type="pct"/>
            <w:tcBorders>
              <w:left w:val="single" w:color="auto" w:sz="4" w:space="0"/>
            </w:tcBorders>
            <w:vAlign w:val="center"/>
          </w:tcPr>
          <w:p w14:paraId="3572C73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03" w:type="pct"/>
            <w:tcBorders>
              <w:left w:val="single" w:color="auto" w:sz="4" w:space="0"/>
            </w:tcBorders>
            <w:vAlign w:val="center"/>
          </w:tcPr>
          <w:p w14:paraId="0DB7AE6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49" w:type="pct"/>
            <w:vAlign w:val="center"/>
          </w:tcPr>
          <w:p w14:paraId="25F62D3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5" w:type="pct"/>
            <w:vAlign w:val="center"/>
          </w:tcPr>
          <w:p w14:paraId="7C2CF8C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bl>
    <w:p w14:paraId="6513D9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p w14:paraId="4BC061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p w14:paraId="0E69A2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bookmarkStart w:id="376" w:name="_Toc163492932"/>
      <w:r>
        <w:rPr>
          <w:rFonts w:hint="eastAsia" w:ascii="仿宋" w:hAnsi="仿宋" w:eastAsia="仿宋" w:cs="仿宋"/>
          <w:sz w:val="24"/>
          <w:szCs w:val="24"/>
          <w:lang w:val="en-US" w:eastAsia="zh-CN"/>
        </w:rPr>
        <w:br w:type="page"/>
      </w:r>
    </w:p>
    <w:p w14:paraId="68A19A0A">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en-US" w:eastAsia="zh-CN"/>
        </w:rPr>
      </w:pPr>
      <w:bookmarkStart w:id="377" w:name="_Toc12645"/>
      <w:r>
        <w:rPr>
          <w:rFonts w:hint="eastAsia" w:ascii="仿宋" w:hAnsi="仿宋" w:eastAsia="仿宋" w:cs="仿宋"/>
          <w:sz w:val="32"/>
          <w:szCs w:val="32"/>
          <w:lang w:val="en-US" w:eastAsia="zh-CN"/>
        </w:rPr>
        <w:t>4.其他商务文件</w:t>
      </w:r>
      <w:bookmarkEnd w:id="376"/>
      <w:bookmarkEnd w:id="377"/>
    </w:p>
    <w:p w14:paraId="6C7907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1.招标文件要求提供的其它商务资料和证明材料；</w:t>
      </w:r>
    </w:p>
    <w:p w14:paraId="7ED689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2.投标人认为需要提供的其它商务资料和说明。</w:t>
      </w:r>
    </w:p>
    <w:p w14:paraId="1B2DFD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14:paraId="01EDC5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br w:type="page"/>
      </w:r>
    </w:p>
    <w:p w14:paraId="2EEC5654">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78" w:name="_Toc163492933"/>
      <w:bookmarkStart w:id="379" w:name="_Toc16388"/>
      <w:bookmarkStart w:id="380" w:name="_Toc155185935"/>
      <w:r>
        <w:rPr>
          <w:rFonts w:hint="eastAsia" w:ascii="仿宋" w:hAnsi="仿宋" w:eastAsia="仿宋" w:cs="仿宋"/>
          <w:sz w:val="32"/>
          <w:szCs w:val="32"/>
          <w:lang w:val="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val="zh-CN"/>
        </w:rPr>
        <w:t>）技术部分</w:t>
      </w:r>
      <w:bookmarkEnd w:id="378"/>
      <w:bookmarkEnd w:id="379"/>
      <w:bookmarkEnd w:id="380"/>
    </w:p>
    <w:p w14:paraId="16519A9A">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zh-CN"/>
        </w:rPr>
      </w:pPr>
      <w:bookmarkStart w:id="381" w:name="_Toc18817"/>
      <w:bookmarkStart w:id="382" w:name="_Toc165299694"/>
      <w:r>
        <w:rPr>
          <w:rFonts w:hint="eastAsia" w:ascii="仿宋" w:hAnsi="仿宋" w:eastAsia="仿宋" w:cs="仿宋"/>
          <w:sz w:val="32"/>
          <w:szCs w:val="32"/>
          <w:lang w:val="en-US" w:eastAsia="zh-CN"/>
        </w:rPr>
        <w:t>1.</w:t>
      </w:r>
      <w:r>
        <w:rPr>
          <w:rFonts w:hint="eastAsia" w:ascii="仿宋" w:hAnsi="仿宋" w:eastAsia="仿宋" w:cs="仿宋"/>
          <w:sz w:val="32"/>
          <w:szCs w:val="32"/>
          <w:lang w:val="zh-CN"/>
        </w:rPr>
        <w:t>技术响应偏离表</w:t>
      </w:r>
      <w:bookmarkEnd w:id="381"/>
    </w:p>
    <w:p w14:paraId="4AF599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项目名称：</w:t>
      </w:r>
    </w:p>
    <w:p w14:paraId="21F940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项目编号：</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976"/>
        <w:gridCol w:w="2048"/>
        <w:gridCol w:w="2140"/>
        <w:gridCol w:w="1659"/>
      </w:tblGrid>
      <w:tr w14:paraId="27A2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2" w:type="pct"/>
            <w:shd w:val="clear" w:color="auto" w:fill="BEBEBE" w:themeFill="background1" w:themeFillShade="BF"/>
            <w:vAlign w:val="center"/>
          </w:tcPr>
          <w:p w14:paraId="2B33803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166" w:type="pct"/>
            <w:shd w:val="clear" w:color="auto" w:fill="BEBEBE" w:themeFill="background1" w:themeFillShade="BF"/>
            <w:vAlign w:val="center"/>
          </w:tcPr>
          <w:p w14:paraId="38CB358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招标文件技术要求条款</w:t>
            </w:r>
          </w:p>
        </w:tc>
        <w:tc>
          <w:tcPr>
            <w:tcW w:w="1208" w:type="pct"/>
            <w:shd w:val="clear" w:color="auto" w:fill="BEBEBE" w:themeFill="background1" w:themeFillShade="BF"/>
            <w:vAlign w:val="center"/>
          </w:tcPr>
          <w:p w14:paraId="293D4D6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color w:val="auto"/>
                <w:sz w:val="24"/>
                <w:szCs w:val="24"/>
              </w:rPr>
              <w:t>技术要求条款投标文件内容对应简述</w:t>
            </w:r>
          </w:p>
        </w:tc>
        <w:tc>
          <w:tcPr>
            <w:tcW w:w="1262" w:type="pct"/>
            <w:shd w:val="clear" w:color="auto" w:fill="BEBEBE" w:themeFill="background1" w:themeFillShade="BF"/>
            <w:vAlign w:val="center"/>
          </w:tcPr>
          <w:p w14:paraId="0784B71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响应情况</w:t>
            </w:r>
          </w:p>
        </w:tc>
        <w:tc>
          <w:tcPr>
            <w:tcW w:w="980" w:type="pct"/>
            <w:shd w:val="clear" w:color="auto" w:fill="BEBEBE" w:themeFill="background1" w:themeFillShade="BF"/>
            <w:vAlign w:val="center"/>
          </w:tcPr>
          <w:p w14:paraId="40145E2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说明及索引</w:t>
            </w:r>
          </w:p>
        </w:tc>
      </w:tr>
      <w:tr w14:paraId="7F10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2" w:type="pct"/>
            <w:vAlign w:val="center"/>
          </w:tcPr>
          <w:p w14:paraId="24DD99E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1166" w:type="pct"/>
            <w:vAlign w:val="center"/>
          </w:tcPr>
          <w:p w14:paraId="0B5C6A1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08" w:type="pct"/>
            <w:vAlign w:val="center"/>
          </w:tcPr>
          <w:p w14:paraId="1EBC34B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62" w:type="pct"/>
            <w:vAlign w:val="center"/>
          </w:tcPr>
          <w:p w14:paraId="42EFAC2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响应/正偏离/负偏离</w:t>
            </w:r>
          </w:p>
        </w:tc>
        <w:tc>
          <w:tcPr>
            <w:tcW w:w="980" w:type="pct"/>
            <w:vAlign w:val="center"/>
          </w:tcPr>
          <w:p w14:paraId="47A7CDF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640C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2" w:type="pct"/>
            <w:vAlign w:val="center"/>
          </w:tcPr>
          <w:p w14:paraId="28C4211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1166" w:type="pct"/>
            <w:vAlign w:val="center"/>
          </w:tcPr>
          <w:p w14:paraId="72D42BA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08" w:type="pct"/>
            <w:vAlign w:val="center"/>
          </w:tcPr>
          <w:p w14:paraId="702C77C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62" w:type="pct"/>
            <w:vAlign w:val="center"/>
          </w:tcPr>
          <w:p w14:paraId="28CD683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响应/正偏离/负偏离</w:t>
            </w:r>
          </w:p>
        </w:tc>
        <w:tc>
          <w:tcPr>
            <w:tcW w:w="980" w:type="pct"/>
            <w:vAlign w:val="center"/>
          </w:tcPr>
          <w:p w14:paraId="6F3EE24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3107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2" w:type="pct"/>
            <w:vAlign w:val="center"/>
          </w:tcPr>
          <w:p w14:paraId="241EB45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166" w:type="pct"/>
            <w:vAlign w:val="center"/>
          </w:tcPr>
          <w:p w14:paraId="68BF381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08" w:type="pct"/>
            <w:vAlign w:val="center"/>
          </w:tcPr>
          <w:p w14:paraId="0FE02E2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62" w:type="pct"/>
            <w:vAlign w:val="center"/>
          </w:tcPr>
          <w:p w14:paraId="5B6602B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80" w:type="pct"/>
            <w:vAlign w:val="center"/>
          </w:tcPr>
          <w:p w14:paraId="33B24F1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15F7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2" w:type="pct"/>
            <w:vAlign w:val="center"/>
          </w:tcPr>
          <w:p w14:paraId="58F0C0B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166" w:type="pct"/>
            <w:vAlign w:val="center"/>
          </w:tcPr>
          <w:p w14:paraId="33A6B74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08" w:type="pct"/>
            <w:vAlign w:val="center"/>
          </w:tcPr>
          <w:p w14:paraId="0D6ED2B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62" w:type="pct"/>
            <w:vAlign w:val="center"/>
          </w:tcPr>
          <w:p w14:paraId="5420C03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80" w:type="pct"/>
            <w:vAlign w:val="center"/>
          </w:tcPr>
          <w:p w14:paraId="1BBD97D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3D6A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2" w:type="pct"/>
            <w:vAlign w:val="center"/>
          </w:tcPr>
          <w:p w14:paraId="413B25C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166" w:type="pct"/>
            <w:vAlign w:val="center"/>
          </w:tcPr>
          <w:p w14:paraId="48646D7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08" w:type="pct"/>
            <w:vAlign w:val="center"/>
          </w:tcPr>
          <w:p w14:paraId="63A74D1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62" w:type="pct"/>
            <w:vAlign w:val="center"/>
          </w:tcPr>
          <w:p w14:paraId="258B954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80" w:type="pct"/>
            <w:vAlign w:val="center"/>
          </w:tcPr>
          <w:p w14:paraId="1438D7E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0CC2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382" w:type="pct"/>
            <w:vAlign w:val="center"/>
          </w:tcPr>
          <w:p w14:paraId="64B2F76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166" w:type="pct"/>
            <w:vAlign w:val="center"/>
          </w:tcPr>
          <w:p w14:paraId="4A18351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08" w:type="pct"/>
            <w:vAlign w:val="center"/>
          </w:tcPr>
          <w:p w14:paraId="44A0CBC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62" w:type="pct"/>
            <w:vAlign w:val="center"/>
          </w:tcPr>
          <w:p w14:paraId="035C405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80" w:type="pct"/>
            <w:vAlign w:val="center"/>
          </w:tcPr>
          <w:p w14:paraId="5B2A525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7D6C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2" w:type="pct"/>
            <w:vAlign w:val="center"/>
          </w:tcPr>
          <w:p w14:paraId="676C2C1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166" w:type="pct"/>
            <w:vAlign w:val="center"/>
          </w:tcPr>
          <w:p w14:paraId="34D8FEF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08" w:type="pct"/>
            <w:vAlign w:val="center"/>
          </w:tcPr>
          <w:p w14:paraId="1A7A577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62" w:type="pct"/>
            <w:vAlign w:val="center"/>
          </w:tcPr>
          <w:p w14:paraId="16CBF9E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80" w:type="pct"/>
            <w:vAlign w:val="center"/>
          </w:tcPr>
          <w:p w14:paraId="425461C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3B92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2" w:type="pct"/>
            <w:vAlign w:val="center"/>
          </w:tcPr>
          <w:p w14:paraId="0681FA2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166" w:type="pct"/>
            <w:vAlign w:val="center"/>
          </w:tcPr>
          <w:p w14:paraId="5BF9216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08" w:type="pct"/>
            <w:vAlign w:val="center"/>
          </w:tcPr>
          <w:p w14:paraId="27CC239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62" w:type="pct"/>
            <w:vAlign w:val="center"/>
          </w:tcPr>
          <w:p w14:paraId="14A8446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80" w:type="pct"/>
            <w:vAlign w:val="center"/>
          </w:tcPr>
          <w:p w14:paraId="2E085CB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16E2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2" w:type="pct"/>
            <w:vAlign w:val="center"/>
          </w:tcPr>
          <w:p w14:paraId="140D5A9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166" w:type="pct"/>
            <w:vAlign w:val="center"/>
          </w:tcPr>
          <w:p w14:paraId="778F78B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08" w:type="pct"/>
            <w:vAlign w:val="center"/>
          </w:tcPr>
          <w:p w14:paraId="2F0E29A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62" w:type="pct"/>
            <w:vAlign w:val="center"/>
          </w:tcPr>
          <w:p w14:paraId="7B96267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80" w:type="pct"/>
            <w:vAlign w:val="center"/>
          </w:tcPr>
          <w:p w14:paraId="275482D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13D3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2" w:type="pct"/>
            <w:vAlign w:val="center"/>
          </w:tcPr>
          <w:p w14:paraId="7A2CA9D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166" w:type="pct"/>
            <w:vAlign w:val="center"/>
          </w:tcPr>
          <w:p w14:paraId="142FFE1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08" w:type="pct"/>
            <w:vAlign w:val="center"/>
          </w:tcPr>
          <w:p w14:paraId="7F4AACD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1262" w:type="pct"/>
            <w:vAlign w:val="center"/>
          </w:tcPr>
          <w:p w14:paraId="1FA18C5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80" w:type="pct"/>
            <w:vAlign w:val="center"/>
          </w:tcPr>
          <w:p w14:paraId="411D1F5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485A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2" w:type="pct"/>
            <w:vAlign w:val="center"/>
          </w:tcPr>
          <w:p w14:paraId="32356E2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1166" w:type="pct"/>
            <w:vAlign w:val="center"/>
          </w:tcPr>
          <w:p w14:paraId="462AE55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1208" w:type="pct"/>
            <w:vAlign w:val="center"/>
          </w:tcPr>
          <w:p w14:paraId="11F16D7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1262" w:type="pct"/>
            <w:vAlign w:val="center"/>
          </w:tcPr>
          <w:p w14:paraId="1C59F62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980" w:type="pct"/>
            <w:vAlign w:val="center"/>
          </w:tcPr>
          <w:p w14:paraId="5CFEBC5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bl>
    <w:p w14:paraId="3BABBD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说明：</w:t>
      </w:r>
    </w:p>
    <w:p w14:paraId="6C56EE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投标人应按照招标文件第三章 采购需求</w:t>
      </w:r>
      <w:r>
        <w:rPr>
          <w:rFonts w:hint="eastAsia" w:ascii="仿宋" w:hAnsi="仿宋" w:eastAsia="仿宋" w:cs="仿宋"/>
          <w:sz w:val="24"/>
          <w:szCs w:val="24"/>
          <w:lang w:val="en-US" w:eastAsia="zh-CN"/>
        </w:rPr>
        <w:t>中</w:t>
      </w:r>
      <w:r>
        <w:rPr>
          <w:rFonts w:hint="eastAsia" w:ascii="仿宋" w:hAnsi="仿宋" w:eastAsia="仿宋" w:cs="仿宋"/>
          <w:sz w:val="24"/>
          <w:szCs w:val="24"/>
        </w:rPr>
        <w:t>“</w:t>
      </w:r>
      <w:r>
        <w:rPr>
          <w:rFonts w:hint="eastAsia" w:ascii="仿宋" w:hAnsi="仿宋" w:eastAsia="仿宋" w:cs="仿宋"/>
          <w:color w:val="auto"/>
          <w:sz w:val="24"/>
          <w:szCs w:val="24"/>
          <w:lang w:val="en-US" w:eastAsia="zh-CN"/>
        </w:rPr>
        <w:t>技术要求</w:t>
      </w:r>
      <w:r>
        <w:rPr>
          <w:rFonts w:hint="eastAsia" w:ascii="仿宋" w:hAnsi="仿宋" w:eastAsia="仿宋" w:cs="仿宋"/>
          <w:sz w:val="24"/>
          <w:szCs w:val="24"/>
        </w:rPr>
        <w:t>”填写。</w:t>
      </w:r>
    </w:p>
    <w:p w14:paraId="235F66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p>
    <w:p w14:paraId="0E7744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投标人</w:t>
      </w:r>
      <w:r>
        <w:rPr>
          <w:rFonts w:hint="eastAsia" w:ascii="仿宋" w:hAnsi="仿宋" w:eastAsia="仿宋" w:cs="仿宋"/>
          <w:sz w:val="24"/>
          <w:szCs w:val="32"/>
        </w:rPr>
        <w:t xml:space="preserve">名称（盖章）：                       </w:t>
      </w:r>
    </w:p>
    <w:p w14:paraId="31F34C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 xml:space="preserve">法定代表人或委托代理人(签字或签章)：         </w:t>
      </w:r>
    </w:p>
    <w:p w14:paraId="4D4D05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 xml:space="preserve">日  期：                                   </w:t>
      </w:r>
    </w:p>
    <w:p w14:paraId="41BB97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14:paraId="4EF70312">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en-US" w:eastAsia="zh-CN"/>
        </w:rPr>
      </w:pPr>
      <w:bookmarkStart w:id="383" w:name="_Toc29970"/>
      <w:r>
        <w:rPr>
          <w:rFonts w:hint="eastAsia" w:ascii="仿宋" w:hAnsi="仿宋" w:eastAsia="仿宋" w:cs="仿宋"/>
          <w:sz w:val="32"/>
          <w:szCs w:val="32"/>
          <w:lang w:val="en-US" w:eastAsia="zh-CN"/>
        </w:rPr>
        <w:t>2.技术方案</w:t>
      </w:r>
      <w:bookmarkEnd w:id="382"/>
      <w:bookmarkEnd w:id="383"/>
    </w:p>
    <w:p w14:paraId="78A4B9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投标人应按照招标文件的要求，提供详细的方案，包括文字描述或图表显示。格式自拟。</w:t>
      </w:r>
    </w:p>
    <w:p w14:paraId="559836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p w14:paraId="6A32C3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p w14:paraId="47BB12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p w14:paraId="5AACB0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bookmarkStart w:id="384" w:name="_Toc163492936"/>
      <w:r>
        <w:rPr>
          <w:rFonts w:hint="eastAsia" w:ascii="仿宋" w:hAnsi="仿宋" w:eastAsia="仿宋" w:cs="仿宋"/>
          <w:sz w:val="24"/>
          <w:szCs w:val="24"/>
          <w:lang w:val="en-US" w:eastAsia="zh-CN"/>
        </w:rPr>
        <w:br w:type="page"/>
      </w:r>
    </w:p>
    <w:p w14:paraId="59EEA02F">
      <w:pPr>
        <w:pStyle w:val="3"/>
        <w:pageBreakBefore w:val="0"/>
        <w:widowControl w:val="0"/>
        <w:numPr>
          <w:ilvl w:val="0"/>
          <w:numId w:val="0"/>
        </w:numPr>
        <w:kinsoku/>
        <w:overflowPunct/>
        <w:topLinePunct w:val="0"/>
        <w:autoSpaceDE/>
        <w:autoSpaceDN/>
        <w:bidi w:val="0"/>
        <w:adjustRightInd/>
        <w:snapToGrid/>
        <w:spacing w:before="0" w:after="0" w:line="360" w:lineRule="auto"/>
        <w:ind w:leftChars="200"/>
        <w:textAlignment w:val="auto"/>
        <w:rPr>
          <w:rFonts w:hint="eastAsia" w:ascii="仿宋" w:hAnsi="仿宋" w:eastAsia="仿宋" w:cs="仿宋"/>
          <w:sz w:val="32"/>
          <w:szCs w:val="32"/>
          <w:lang w:val="en-US" w:eastAsia="zh-CN"/>
        </w:rPr>
      </w:pPr>
      <w:bookmarkStart w:id="385" w:name="_Toc30533"/>
      <w:r>
        <w:rPr>
          <w:rFonts w:hint="eastAsia" w:ascii="仿宋" w:hAnsi="仿宋" w:eastAsia="仿宋" w:cs="仿宋"/>
          <w:sz w:val="32"/>
          <w:szCs w:val="32"/>
          <w:lang w:val="en-US" w:eastAsia="zh-CN"/>
        </w:rPr>
        <w:t>3.其他技术文件</w:t>
      </w:r>
      <w:bookmarkEnd w:id="384"/>
      <w:bookmarkEnd w:id="385"/>
    </w:p>
    <w:p w14:paraId="0CF739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1.招标文件要求提供的其它技术资料和证明材料；</w:t>
      </w:r>
    </w:p>
    <w:p w14:paraId="202FB3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2.投标人认为需要提供的其它技术资料和说明。</w:t>
      </w:r>
    </w:p>
    <w:p w14:paraId="6596F9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p w14:paraId="566739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eastAsia="zh-CN"/>
        </w:rPr>
      </w:pPr>
    </w:p>
    <w:p w14:paraId="7C0CC9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eastAsia="zh-CN"/>
        </w:rPr>
      </w:pPr>
      <w:bookmarkStart w:id="386" w:name="_Toc163492937"/>
      <w:r>
        <w:rPr>
          <w:rFonts w:hint="eastAsia" w:ascii="仿宋" w:hAnsi="仿宋" w:eastAsia="仿宋" w:cs="仿宋"/>
          <w:sz w:val="24"/>
          <w:szCs w:val="24"/>
          <w:lang w:val="zh-CN" w:eastAsia="zh-CN"/>
        </w:rPr>
        <w:br w:type="page"/>
      </w:r>
    </w:p>
    <w:p w14:paraId="2AB69EF1">
      <w:pPr>
        <w:pStyle w:val="3"/>
        <w:pageBreakBefore w:val="0"/>
        <w:widowControl w:val="0"/>
        <w:numPr>
          <w:ilvl w:val="0"/>
          <w:numId w:val="0"/>
        </w:numPr>
        <w:kinsoku/>
        <w:overflowPunct/>
        <w:topLinePunct w:val="0"/>
        <w:autoSpaceDE/>
        <w:autoSpaceDN/>
        <w:bidi w:val="0"/>
        <w:adjustRightInd/>
        <w:snapToGrid/>
        <w:spacing w:before="0" w:after="0" w:line="360" w:lineRule="auto"/>
        <w:ind w:left="0" w:leftChars="0" w:firstLine="421" w:firstLineChars="131"/>
        <w:textAlignment w:val="auto"/>
        <w:rPr>
          <w:rFonts w:hint="eastAsia" w:ascii="仿宋" w:hAnsi="仿宋" w:eastAsia="仿宋" w:cs="仿宋"/>
          <w:sz w:val="32"/>
          <w:szCs w:val="32"/>
          <w:lang w:val="zh-CN"/>
        </w:rPr>
      </w:pPr>
      <w:bookmarkStart w:id="387" w:name="_Toc2856"/>
      <w:r>
        <w:rPr>
          <w:rFonts w:hint="eastAsia" w:ascii="仿宋" w:hAnsi="仿宋" w:eastAsia="仿宋" w:cs="仿宋"/>
          <w:sz w:val="32"/>
          <w:szCs w:val="32"/>
          <w:lang w:val="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val="zh-CN"/>
        </w:rPr>
        <w:t>）落实政府采购政策相关证明文件</w:t>
      </w:r>
      <w:bookmarkEnd w:id="386"/>
      <w:bookmarkEnd w:id="387"/>
    </w:p>
    <w:p w14:paraId="40A1BAAE">
      <w:pPr>
        <w:pStyle w:val="3"/>
        <w:pageBreakBefore w:val="0"/>
        <w:widowControl w:val="0"/>
        <w:numPr>
          <w:ilvl w:val="0"/>
          <w:numId w:val="0"/>
        </w:numPr>
        <w:kinsoku/>
        <w:overflowPunct/>
        <w:topLinePunct w:val="0"/>
        <w:autoSpaceDE/>
        <w:autoSpaceDN/>
        <w:bidi w:val="0"/>
        <w:adjustRightInd/>
        <w:snapToGrid/>
        <w:spacing w:before="0" w:after="0" w:line="360" w:lineRule="auto"/>
        <w:ind w:left="0" w:leftChars="0" w:firstLine="421" w:firstLineChars="131"/>
        <w:textAlignment w:val="auto"/>
        <w:rPr>
          <w:rFonts w:hint="eastAsia" w:ascii="仿宋" w:hAnsi="仿宋" w:eastAsia="仿宋" w:cs="仿宋"/>
          <w:sz w:val="32"/>
          <w:szCs w:val="32"/>
          <w:lang w:val="zh-CN"/>
        </w:rPr>
      </w:pPr>
      <w:bookmarkStart w:id="388" w:name="_Toc5305"/>
      <w:bookmarkStart w:id="389" w:name="_Toc163492938"/>
      <w:r>
        <w:rPr>
          <w:rFonts w:hint="eastAsia" w:ascii="仿宋" w:hAnsi="仿宋" w:eastAsia="仿宋" w:cs="仿宋"/>
          <w:sz w:val="32"/>
          <w:szCs w:val="32"/>
          <w:lang w:val="en-US" w:eastAsia="zh-CN"/>
        </w:rPr>
        <w:t>1.</w:t>
      </w:r>
      <w:r>
        <w:rPr>
          <w:rFonts w:hint="eastAsia" w:ascii="仿宋" w:hAnsi="仿宋" w:eastAsia="仿宋" w:cs="仿宋"/>
          <w:sz w:val="32"/>
          <w:szCs w:val="32"/>
          <w:lang w:val="zh-CN"/>
        </w:rPr>
        <w:t>节能环保产品清单及证明材料【如适用】</w:t>
      </w:r>
      <w:bookmarkEnd w:id="388"/>
      <w:bookmarkEnd w:id="389"/>
    </w:p>
    <w:p w14:paraId="01F2A051">
      <w:pPr>
        <w:spacing w:line="300" w:lineRule="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项目名称：项目编号：包号：</w:t>
      </w:r>
    </w:p>
    <w:p w14:paraId="1EE6EEB2">
      <w:pPr>
        <w:spacing w:line="300" w:lineRule="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节能产品</w:t>
      </w:r>
    </w:p>
    <w:tbl>
      <w:tblPr>
        <w:tblStyle w:val="4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711"/>
        <w:gridCol w:w="1202"/>
        <w:gridCol w:w="925"/>
        <w:gridCol w:w="747"/>
        <w:gridCol w:w="718"/>
        <w:gridCol w:w="663"/>
        <w:gridCol w:w="1072"/>
        <w:gridCol w:w="1125"/>
        <w:gridCol w:w="1350"/>
      </w:tblGrid>
      <w:tr w14:paraId="63E4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24" w:hRule="atLeast"/>
          <w:jc w:val="center"/>
        </w:trPr>
        <w:tc>
          <w:tcPr>
            <w:tcW w:w="418"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045FEC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序号</w:t>
            </w:r>
          </w:p>
        </w:tc>
        <w:tc>
          <w:tcPr>
            <w:tcW w:w="705"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0F08C3A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543"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A48FEA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制造商名称</w:t>
            </w:r>
          </w:p>
        </w:tc>
        <w:tc>
          <w:tcPr>
            <w:tcW w:w="438"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F5FF9C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p>
        </w:tc>
        <w:tc>
          <w:tcPr>
            <w:tcW w:w="421"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552122F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型号</w:t>
            </w:r>
          </w:p>
        </w:tc>
        <w:tc>
          <w:tcPr>
            <w:tcW w:w="389"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74838F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数量</w:t>
            </w:r>
          </w:p>
        </w:tc>
        <w:tc>
          <w:tcPr>
            <w:tcW w:w="629"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8BDD46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单价</w:t>
            </w:r>
          </w:p>
          <w:p w14:paraId="5D24436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（万元）</w:t>
            </w:r>
          </w:p>
        </w:tc>
        <w:tc>
          <w:tcPr>
            <w:tcW w:w="660"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5597A8B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总价</w:t>
            </w:r>
          </w:p>
          <w:p w14:paraId="099ED5C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（万元）</w:t>
            </w:r>
          </w:p>
        </w:tc>
        <w:tc>
          <w:tcPr>
            <w:tcW w:w="792"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06445D4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属强制采购或优先采购</w:t>
            </w:r>
          </w:p>
        </w:tc>
      </w:tr>
      <w:tr w14:paraId="781B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24"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14:paraId="0142CFB8">
            <w:pPr>
              <w:pStyle w:val="315"/>
              <w:keepNext w:val="0"/>
              <w:keepLines w:val="0"/>
              <w:pageBreakBefore w:val="0"/>
              <w:widowControl w:val="0"/>
              <w:numPr>
                <w:ilvl w:val="0"/>
                <w:numId w:val="16"/>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05" w:type="pct"/>
            <w:tcBorders>
              <w:top w:val="single" w:color="auto" w:sz="4" w:space="0"/>
              <w:left w:val="single" w:color="auto" w:sz="4" w:space="0"/>
              <w:bottom w:val="single" w:color="auto" w:sz="4" w:space="0"/>
              <w:right w:val="single" w:color="auto" w:sz="4" w:space="0"/>
            </w:tcBorders>
            <w:vAlign w:val="center"/>
          </w:tcPr>
          <w:p w14:paraId="3E56A76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543" w:type="pct"/>
            <w:tcBorders>
              <w:top w:val="single" w:color="auto" w:sz="4" w:space="0"/>
              <w:left w:val="single" w:color="auto" w:sz="4" w:space="0"/>
              <w:bottom w:val="single" w:color="auto" w:sz="4" w:space="0"/>
              <w:right w:val="single" w:color="auto" w:sz="4" w:space="0"/>
            </w:tcBorders>
            <w:vAlign w:val="center"/>
          </w:tcPr>
          <w:p w14:paraId="26CBA0C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38" w:type="pct"/>
            <w:tcBorders>
              <w:top w:val="single" w:color="auto" w:sz="4" w:space="0"/>
              <w:left w:val="single" w:color="auto" w:sz="4" w:space="0"/>
              <w:bottom w:val="single" w:color="auto" w:sz="4" w:space="0"/>
              <w:right w:val="single" w:color="auto" w:sz="4" w:space="0"/>
            </w:tcBorders>
            <w:vAlign w:val="center"/>
          </w:tcPr>
          <w:p w14:paraId="6AE3F07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21" w:type="pct"/>
            <w:tcBorders>
              <w:top w:val="single" w:color="auto" w:sz="4" w:space="0"/>
              <w:left w:val="single" w:color="auto" w:sz="4" w:space="0"/>
              <w:bottom w:val="single" w:color="auto" w:sz="4" w:space="0"/>
              <w:right w:val="single" w:color="auto" w:sz="4" w:space="0"/>
            </w:tcBorders>
            <w:vAlign w:val="center"/>
          </w:tcPr>
          <w:p w14:paraId="572F74C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389" w:type="pct"/>
            <w:tcBorders>
              <w:top w:val="single" w:color="auto" w:sz="4" w:space="0"/>
              <w:left w:val="single" w:color="auto" w:sz="4" w:space="0"/>
              <w:bottom w:val="single" w:color="auto" w:sz="4" w:space="0"/>
              <w:right w:val="single" w:color="auto" w:sz="4" w:space="0"/>
            </w:tcBorders>
            <w:vAlign w:val="center"/>
          </w:tcPr>
          <w:p w14:paraId="110D2B2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29" w:type="pct"/>
            <w:tcBorders>
              <w:top w:val="single" w:color="auto" w:sz="4" w:space="0"/>
              <w:left w:val="single" w:color="auto" w:sz="4" w:space="0"/>
              <w:bottom w:val="single" w:color="auto" w:sz="4" w:space="0"/>
              <w:right w:val="single" w:color="auto" w:sz="4" w:space="0"/>
            </w:tcBorders>
            <w:vAlign w:val="center"/>
          </w:tcPr>
          <w:p w14:paraId="68FF635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009E838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92" w:type="pct"/>
            <w:tcBorders>
              <w:top w:val="single" w:color="auto" w:sz="4" w:space="0"/>
              <w:left w:val="single" w:color="auto" w:sz="4" w:space="0"/>
              <w:bottom w:val="single" w:color="auto" w:sz="4" w:space="0"/>
              <w:right w:val="single" w:color="auto" w:sz="4" w:space="0"/>
            </w:tcBorders>
            <w:vAlign w:val="center"/>
          </w:tcPr>
          <w:p w14:paraId="75B2514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4071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24"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14:paraId="5F4668CA">
            <w:pPr>
              <w:pStyle w:val="315"/>
              <w:keepNext w:val="0"/>
              <w:keepLines w:val="0"/>
              <w:pageBreakBefore w:val="0"/>
              <w:widowControl w:val="0"/>
              <w:numPr>
                <w:ilvl w:val="0"/>
                <w:numId w:val="16"/>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05" w:type="pct"/>
            <w:tcBorders>
              <w:top w:val="single" w:color="auto" w:sz="4" w:space="0"/>
              <w:left w:val="single" w:color="auto" w:sz="4" w:space="0"/>
              <w:bottom w:val="single" w:color="auto" w:sz="4" w:space="0"/>
              <w:right w:val="single" w:color="auto" w:sz="4" w:space="0"/>
            </w:tcBorders>
            <w:vAlign w:val="center"/>
          </w:tcPr>
          <w:p w14:paraId="0526E84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543" w:type="pct"/>
            <w:tcBorders>
              <w:top w:val="single" w:color="auto" w:sz="4" w:space="0"/>
              <w:left w:val="single" w:color="auto" w:sz="4" w:space="0"/>
              <w:bottom w:val="single" w:color="auto" w:sz="4" w:space="0"/>
              <w:right w:val="single" w:color="auto" w:sz="4" w:space="0"/>
            </w:tcBorders>
            <w:vAlign w:val="center"/>
          </w:tcPr>
          <w:p w14:paraId="73CAD2C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38" w:type="pct"/>
            <w:tcBorders>
              <w:top w:val="single" w:color="auto" w:sz="4" w:space="0"/>
              <w:left w:val="single" w:color="auto" w:sz="4" w:space="0"/>
              <w:bottom w:val="single" w:color="auto" w:sz="4" w:space="0"/>
              <w:right w:val="single" w:color="auto" w:sz="4" w:space="0"/>
            </w:tcBorders>
            <w:vAlign w:val="center"/>
          </w:tcPr>
          <w:p w14:paraId="491F736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21" w:type="pct"/>
            <w:tcBorders>
              <w:top w:val="single" w:color="auto" w:sz="4" w:space="0"/>
              <w:left w:val="single" w:color="auto" w:sz="4" w:space="0"/>
              <w:bottom w:val="single" w:color="auto" w:sz="4" w:space="0"/>
              <w:right w:val="single" w:color="auto" w:sz="4" w:space="0"/>
            </w:tcBorders>
            <w:vAlign w:val="center"/>
          </w:tcPr>
          <w:p w14:paraId="648A007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389" w:type="pct"/>
            <w:tcBorders>
              <w:top w:val="single" w:color="auto" w:sz="4" w:space="0"/>
              <w:left w:val="single" w:color="auto" w:sz="4" w:space="0"/>
              <w:bottom w:val="single" w:color="auto" w:sz="4" w:space="0"/>
              <w:right w:val="single" w:color="auto" w:sz="4" w:space="0"/>
            </w:tcBorders>
            <w:vAlign w:val="center"/>
          </w:tcPr>
          <w:p w14:paraId="0CB3C92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29" w:type="pct"/>
            <w:tcBorders>
              <w:top w:val="single" w:color="auto" w:sz="4" w:space="0"/>
              <w:left w:val="single" w:color="auto" w:sz="4" w:space="0"/>
              <w:bottom w:val="single" w:color="auto" w:sz="4" w:space="0"/>
              <w:right w:val="single" w:color="auto" w:sz="4" w:space="0"/>
            </w:tcBorders>
            <w:vAlign w:val="center"/>
          </w:tcPr>
          <w:p w14:paraId="29C6351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2AE64FC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92" w:type="pct"/>
            <w:tcBorders>
              <w:top w:val="single" w:color="auto" w:sz="4" w:space="0"/>
              <w:left w:val="single" w:color="auto" w:sz="4" w:space="0"/>
              <w:bottom w:val="single" w:color="auto" w:sz="4" w:space="0"/>
              <w:right w:val="single" w:color="auto" w:sz="4" w:space="0"/>
            </w:tcBorders>
            <w:vAlign w:val="center"/>
          </w:tcPr>
          <w:p w14:paraId="7B69178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683B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24" w:hRule="atLeast"/>
          <w:jc w:val="center"/>
        </w:trPr>
        <w:tc>
          <w:tcPr>
            <w:tcW w:w="418" w:type="pct"/>
            <w:tcBorders>
              <w:top w:val="single" w:color="auto" w:sz="4" w:space="0"/>
              <w:left w:val="single" w:color="auto" w:sz="4" w:space="0"/>
              <w:bottom w:val="single" w:color="auto" w:sz="4" w:space="0"/>
              <w:right w:val="single" w:color="auto" w:sz="4" w:space="0"/>
            </w:tcBorders>
            <w:vAlign w:val="center"/>
          </w:tcPr>
          <w:p w14:paraId="225004A5">
            <w:pPr>
              <w:pStyle w:val="315"/>
              <w:keepNext w:val="0"/>
              <w:keepLines w:val="0"/>
              <w:pageBreakBefore w:val="0"/>
              <w:widowControl w:val="0"/>
              <w:numPr>
                <w:ilvl w:val="0"/>
                <w:numId w:val="16"/>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05" w:type="pct"/>
            <w:tcBorders>
              <w:top w:val="single" w:color="auto" w:sz="4" w:space="0"/>
              <w:left w:val="single" w:color="auto" w:sz="4" w:space="0"/>
              <w:bottom w:val="single" w:color="auto" w:sz="4" w:space="0"/>
              <w:right w:val="single" w:color="auto" w:sz="4" w:space="0"/>
            </w:tcBorders>
            <w:vAlign w:val="center"/>
          </w:tcPr>
          <w:p w14:paraId="2D8DA25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543" w:type="pct"/>
            <w:tcBorders>
              <w:top w:val="single" w:color="auto" w:sz="4" w:space="0"/>
              <w:left w:val="single" w:color="auto" w:sz="4" w:space="0"/>
              <w:bottom w:val="single" w:color="auto" w:sz="4" w:space="0"/>
              <w:right w:val="single" w:color="auto" w:sz="4" w:space="0"/>
            </w:tcBorders>
            <w:vAlign w:val="center"/>
          </w:tcPr>
          <w:p w14:paraId="41311F9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38" w:type="pct"/>
            <w:tcBorders>
              <w:top w:val="single" w:color="auto" w:sz="4" w:space="0"/>
              <w:left w:val="single" w:color="auto" w:sz="4" w:space="0"/>
              <w:bottom w:val="single" w:color="auto" w:sz="4" w:space="0"/>
              <w:right w:val="single" w:color="auto" w:sz="4" w:space="0"/>
            </w:tcBorders>
            <w:vAlign w:val="center"/>
          </w:tcPr>
          <w:p w14:paraId="6A2F949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21" w:type="pct"/>
            <w:tcBorders>
              <w:top w:val="single" w:color="auto" w:sz="4" w:space="0"/>
              <w:left w:val="single" w:color="auto" w:sz="4" w:space="0"/>
              <w:bottom w:val="single" w:color="auto" w:sz="4" w:space="0"/>
              <w:right w:val="single" w:color="auto" w:sz="4" w:space="0"/>
            </w:tcBorders>
            <w:vAlign w:val="center"/>
          </w:tcPr>
          <w:p w14:paraId="75439D89">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389" w:type="pct"/>
            <w:tcBorders>
              <w:top w:val="single" w:color="auto" w:sz="4" w:space="0"/>
              <w:left w:val="single" w:color="auto" w:sz="4" w:space="0"/>
              <w:bottom w:val="single" w:color="auto" w:sz="4" w:space="0"/>
              <w:right w:val="single" w:color="auto" w:sz="4" w:space="0"/>
            </w:tcBorders>
            <w:vAlign w:val="center"/>
          </w:tcPr>
          <w:p w14:paraId="157521C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29" w:type="pct"/>
            <w:tcBorders>
              <w:top w:val="single" w:color="auto" w:sz="4" w:space="0"/>
              <w:left w:val="single" w:color="auto" w:sz="4" w:space="0"/>
              <w:bottom w:val="single" w:color="auto" w:sz="4" w:space="0"/>
              <w:right w:val="single" w:color="auto" w:sz="4" w:space="0"/>
            </w:tcBorders>
            <w:vAlign w:val="center"/>
          </w:tcPr>
          <w:p w14:paraId="6D61DA6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5623D67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792" w:type="pct"/>
            <w:tcBorders>
              <w:top w:val="single" w:color="auto" w:sz="4" w:space="0"/>
              <w:left w:val="single" w:color="auto" w:sz="4" w:space="0"/>
              <w:bottom w:val="single" w:color="auto" w:sz="4" w:space="0"/>
              <w:right w:val="single" w:color="auto" w:sz="4" w:space="0"/>
            </w:tcBorders>
            <w:vAlign w:val="center"/>
          </w:tcPr>
          <w:p w14:paraId="53E92F5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bl>
    <w:p w14:paraId="31139B6C">
      <w:pPr>
        <w:spacing w:line="300" w:lineRule="auto"/>
        <w:rPr>
          <w:rFonts w:hint="eastAsia" w:ascii="仿宋" w:hAnsi="仿宋" w:eastAsia="仿宋" w:cs="仿宋"/>
          <w:sz w:val="24"/>
          <w:szCs w:val="24"/>
        </w:rPr>
      </w:pPr>
    </w:p>
    <w:p w14:paraId="7AAEDDFC">
      <w:pPr>
        <w:spacing w:line="300" w:lineRule="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环保产品</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737"/>
        <w:gridCol w:w="1647"/>
        <w:gridCol w:w="1129"/>
        <w:gridCol w:w="807"/>
        <w:gridCol w:w="807"/>
        <w:gridCol w:w="899"/>
        <w:gridCol w:w="1381"/>
        <w:gridCol w:w="1110"/>
      </w:tblGrid>
      <w:tr w14:paraId="0AB1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24" w:hRule="atLeast"/>
          <w:jc w:val="center"/>
        </w:trPr>
        <w:tc>
          <w:tcPr>
            <w:tcW w:w="433"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771AED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序号</w:t>
            </w:r>
          </w:p>
        </w:tc>
        <w:tc>
          <w:tcPr>
            <w:tcW w:w="966"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207EA6C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662"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710118E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制造商</w:t>
            </w:r>
          </w:p>
          <w:p w14:paraId="71F7C2A0">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名称</w:t>
            </w:r>
          </w:p>
        </w:tc>
        <w:tc>
          <w:tcPr>
            <w:tcW w:w="473"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274B33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p>
        </w:tc>
        <w:tc>
          <w:tcPr>
            <w:tcW w:w="473"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367F274">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型号</w:t>
            </w:r>
          </w:p>
        </w:tc>
        <w:tc>
          <w:tcPr>
            <w:tcW w:w="52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4CEBE88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数量</w:t>
            </w:r>
          </w:p>
        </w:tc>
        <w:tc>
          <w:tcPr>
            <w:tcW w:w="810"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E05BB9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单价</w:t>
            </w:r>
          </w:p>
          <w:p w14:paraId="3D2A4B2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（万元）</w:t>
            </w:r>
          </w:p>
        </w:tc>
        <w:tc>
          <w:tcPr>
            <w:tcW w:w="651"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367FB6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总价</w:t>
            </w:r>
          </w:p>
          <w:p w14:paraId="7EA2D0B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（万元）</w:t>
            </w:r>
          </w:p>
        </w:tc>
      </w:tr>
      <w:tr w14:paraId="378C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24" w:hRule="atLeast"/>
          <w:jc w:val="center"/>
        </w:trPr>
        <w:tc>
          <w:tcPr>
            <w:tcW w:w="433" w:type="pct"/>
            <w:tcBorders>
              <w:top w:val="single" w:color="auto" w:sz="4" w:space="0"/>
              <w:left w:val="single" w:color="auto" w:sz="4" w:space="0"/>
              <w:bottom w:val="single" w:color="auto" w:sz="4" w:space="0"/>
              <w:right w:val="single" w:color="auto" w:sz="4" w:space="0"/>
            </w:tcBorders>
            <w:vAlign w:val="center"/>
          </w:tcPr>
          <w:p w14:paraId="39974720">
            <w:pPr>
              <w:pStyle w:val="315"/>
              <w:keepNext w:val="0"/>
              <w:keepLines w:val="0"/>
              <w:pageBreakBefore w:val="0"/>
              <w:widowControl w:val="0"/>
              <w:numPr>
                <w:ilvl w:val="0"/>
                <w:numId w:val="17"/>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6" w:type="pct"/>
            <w:tcBorders>
              <w:top w:val="single" w:color="auto" w:sz="4" w:space="0"/>
              <w:left w:val="single" w:color="auto" w:sz="4" w:space="0"/>
              <w:bottom w:val="single" w:color="auto" w:sz="4" w:space="0"/>
              <w:right w:val="single" w:color="auto" w:sz="4" w:space="0"/>
            </w:tcBorders>
            <w:vAlign w:val="center"/>
          </w:tcPr>
          <w:p w14:paraId="22ED5DDE">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62" w:type="pct"/>
            <w:tcBorders>
              <w:top w:val="single" w:color="auto" w:sz="4" w:space="0"/>
              <w:left w:val="single" w:color="auto" w:sz="4" w:space="0"/>
              <w:bottom w:val="single" w:color="auto" w:sz="4" w:space="0"/>
              <w:right w:val="single" w:color="auto" w:sz="4" w:space="0"/>
            </w:tcBorders>
            <w:vAlign w:val="center"/>
          </w:tcPr>
          <w:p w14:paraId="5B5B84E3">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73" w:type="pct"/>
            <w:tcBorders>
              <w:top w:val="single" w:color="auto" w:sz="4" w:space="0"/>
              <w:left w:val="single" w:color="auto" w:sz="4" w:space="0"/>
              <w:bottom w:val="single" w:color="auto" w:sz="4" w:space="0"/>
              <w:right w:val="single" w:color="auto" w:sz="4" w:space="0"/>
            </w:tcBorders>
            <w:vAlign w:val="center"/>
          </w:tcPr>
          <w:p w14:paraId="389F830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73" w:type="pct"/>
            <w:tcBorders>
              <w:top w:val="single" w:color="auto" w:sz="4" w:space="0"/>
              <w:left w:val="single" w:color="auto" w:sz="4" w:space="0"/>
              <w:bottom w:val="single" w:color="auto" w:sz="4" w:space="0"/>
              <w:right w:val="single" w:color="auto" w:sz="4" w:space="0"/>
            </w:tcBorders>
            <w:vAlign w:val="center"/>
          </w:tcPr>
          <w:p w14:paraId="764FA776">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527" w:type="pct"/>
            <w:tcBorders>
              <w:top w:val="single" w:color="auto" w:sz="4" w:space="0"/>
              <w:left w:val="single" w:color="auto" w:sz="4" w:space="0"/>
              <w:bottom w:val="single" w:color="auto" w:sz="4" w:space="0"/>
              <w:right w:val="single" w:color="auto" w:sz="4" w:space="0"/>
            </w:tcBorders>
            <w:vAlign w:val="center"/>
          </w:tcPr>
          <w:p w14:paraId="400E79C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810" w:type="pct"/>
            <w:tcBorders>
              <w:top w:val="single" w:color="auto" w:sz="4" w:space="0"/>
              <w:left w:val="single" w:color="auto" w:sz="4" w:space="0"/>
              <w:bottom w:val="single" w:color="auto" w:sz="4" w:space="0"/>
              <w:right w:val="single" w:color="auto" w:sz="4" w:space="0"/>
            </w:tcBorders>
            <w:vAlign w:val="center"/>
          </w:tcPr>
          <w:p w14:paraId="63C4766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51" w:type="pct"/>
            <w:tcBorders>
              <w:top w:val="single" w:color="auto" w:sz="4" w:space="0"/>
              <w:left w:val="single" w:color="auto" w:sz="4" w:space="0"/>
              <w:bottom w:val="single" w:color="auto" w:sz="4" w:space="0"/>
              <w:right w:val="single" w:color="auto" w:sz="4" w:space="0"/>
            </w:tcBorders>
            <w:vAlign w:val="center"/>
          </w:tcPr>
          <w:p w14:paraId="6A3B693B">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5580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24" w:hRule="atLeast"/>
          <w:jc w:val="center"/>
        </w:trPr>
        <w:tc>
          <w:tcPr>
            <w:tcW w:w="433" w:type="pct"/>
            <w:tcBorders>
              <w:top w:val="single" w:color="auto" w:sz="4" w:space="0"/>
              <w:left w:val="single" w:color="auto" w:sz="4" w:space="0"/>
              <w:bottom w:val="single" w:color="auto" w:sz="4" w:space="0"/>
              <w:right w:val="single" w:color="auto" w:sz="4" w:space="0"/>
            </w:tcBorders>
            <w:vAlign w:val="center"/>
          </w:tcPr>
          <w:p w14:paraId="11CD7D7A">
            <w:pPr>
              <w:pStyle w:val="315"/>
              <w:keepNext w:val="0"/>
              <w:keepLines w:val="0"/>
              <w:pageBreakBefore w:val="0"/>
              <w:widowControl w:val="0"/>
              <w:numPr>
                <w:ilvl w:val="0"/>
                <w:numId w:val="17"/>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6" w:type="pct"/>
            <w:tcBorders>
              <w:top w:val="single" w:color="auto" w:sz="4" w:space="0"/>
              <w:left w:val="single" w:color="auto" w:sz="4" w:space="0"/>
              <w:bottom w:val="single" w:color="auto" w:sz="4" w:space="0"/>
              <w:right w:val="single" w:color="auto" w:sz="4" w:space="0"/>
            </w:tcBorders>
            <w:vAlign w:val="center"/>
          </w:tcPr>
          <w:p w14:paraId="23DE56E5">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62" w:type="pct"/>
            <w:tcBorders>
              <w:top w:val="single" w:color="auto" w:sz="4" w:space="0"/>
              <w:left w:val="single" w:color="auto" w:sz="4" w:space="0"/>
              <w:bottom w:val="single" w:color="auto" w:sz="4" w:space="0"/>
              <w:right w:val="single" w:color="auto" w:sz="4" w:space="0"/>
            </w:tcBorders>
            <w:vAlign w:val="center"/>
          </w:tcPr>
          <w:p w14:paraId="7807D06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73" w:type="pct"/>
            <w:tcBorders>
              <w:top w:val="single" w:color="auto" w:sz="4" w:space="0"/>
              <w:left w:val="single" w:color="auto" w:sz="4" w:space="0"/>
              <w:bottom w:val="single" w:color="auto" w:sz="4" w:space="0"/>
              <w:right w:val="single" w:color="auto" w:sz="4" w:space="0"/>
            </w:tcBorders>
            <w:vAlign w:val="center"/>
          </w:tcPr>
          <w:p w14:paraId="4FB53B1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73" w:type="pct"/>
            <w:tcBorders>
              <w:top w:val="single" w:color="auto" w:sz="4" w:space="0"/>
              <w:left w:val="single" w:color="auto" w:sz="4" w:space="0"/>
              <w:bottom w:val="single" w:color="auto" w:sz="4" w:space="0"/>
              <w:right w:val="single" w:color="auto" w:sz="4" w:space="0"/>
            </w:tcBorders>
            <w:vAlign w:val="center"/>
          </w:tcPr>
          <w:p w14:paraId="463EB6B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527" w:type="pct"/>
            <w:tcBorders>
              <w:top w:val="single" w:color="auto" w:sz="4" w:space="0"/>
              <w:left w:val="single" w:color="auto" w:sz="4" w:space="0"/>
              <w:bottom w:val="single" w:color="auto" w:sz="4" w:space="0"/>
              <w:right w:val="single" w:color="auto" w:sz="4" w:space="0"/>
            </w:tcBorders>
            <w:vAlign w:val="center"/>
          </w:tcPr>
          <w:p w14:paraId="78263FD7">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810" w:type="pct"/>
            <w:tcBorders>
              <w:top w:val="single" w:color="auto" w:sz="4" w:space="0"/>
              <w:left w:val="single" w:color="auto" w:sz="4" w:space="0"/>
              <w:bottom w:val="single" w:color="auto" w:sz="4" w:space="0"/>
              <w:right w:val="single" w:color="auto" w:sz="4" w:space="0"/>
            </w:tcBorders>
            <w:vAlign w:val="center"/>
          </w:tcPr>
          <w:p w14:paraId="4EE5D42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51" w:type="pct"/>
            <w:tcBorders>
              <w:top w:val="single" w:color="auto" w:sz="4" w:space="0"/>
              <w:left w:val="single" w:color="auto" w:sz="4" w:space="0"/>
              <w:bottom w:val="single" w:color="auto" w:sz="4" w:space="0"/>
              <w:right w:val="single" w:color="auto" w:sz="4" w:space="0"/>
            </w:tcBorders>
            <w:vAlign w:val="center"/>
          </w:tcPr>
          <w:p w14:paraId="554613BD">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r w14:paraId="75F7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24" w:hRule="atLeast"/>
          <w:jc w:val="center"/>
        </w:trPr>
        <w:tc>
          <w:tcPr>
            <w:tcW w:w="433" w:type="pct"/>
            <w:tcBorders>
              <w:top w:val="single" w:color="auto" w:sz="4" w:space="0"/>
              <w:left w:val="single" w:color="auto" w:sz="4" w:space="0"/>
              <w:bottom w:val="single" w:color="auto" w:sz="4" w:space="0"/>
              <w:right w:val="single" w:color="auto" w:sz="4" w:space="0"/>
            </w:tcBorders>
            <w:vAlign w:val="center"/>
          </w:tcPr>
          <w:p w14:paraId="2EEDB244">
            <w:pPr>
              <w:pStyle w:val="315"/>
              <w:keepNext w:val="0"/>
              <w:keepLines w:val="0"/>
              <w:pageBreakBefore w:val="0"/>
              <w:widowControl w:val="0"/>
              <w:numPr>
                <w:ilvl w:val="0"/>
                <w:numId w:val="17"/>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966" w:type="pct"/>
            <w:tcBorders>
              <w:top w:val="single" w:color="auto" w:sz="4" w:space="0"/>
              <w:left w:val="single" w:color="auto" w:sz="4" w:space="0"/>
              <w:bottom w:val="single" w:color="auto" w:sz="4" w:space="0"/>
              <w:right w:val="single" w:color="auto" w:sz="4" w:space="0"/>
            </w:tcBorders>
            <w:vAlign w:val="center"/>
          </w:tcPr>
          <w:p w14:paraId="6C44D238">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w:t>
            </w:r>
          </w:p>
        </w:tc>
        <w:tc>
          <w:tcPr>
            <w:tcW w:w="662" w:type="pct"/>
            <w:tcBorders>
              <w:top w:val="single" w:color="auto" w:sz="4" w:space="0"/>
              <w:left w:val="single" w:color="auto" w:sz="4" w:space="0"/>
              <w:bottom w:val="single" w:color="auto" w:sz="4" w:space="0"/>
              <w:right w:val="single" w:color="auto" w:sz="4" w:space="0"/>
            </w:tcBorders>
            <w:vAlign w:val="center"/>
          </w:tcPr>
          <w:p w14:paraId="2D8191C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73" w:type="pct"/>
            <w:tcBorders>
              <w:top w:val="single" w:color="auto" w:sz="4" w:space="0"/>
              <w:left w:val="single" w:color="auto" w:sz="4" w:space="0"/>
              <w:bottom w:val="single" w:color="auto" w:sz="4" w:space="0"/>
              <w:right w:val="single" w:color="auto" w:sz="4" w:space="0"/>
            </w:tcBorders>
            <w:vAlign w:val="center"/>
          </w:tcPr>
          <w:p w14:paraId="45E5AC61">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473" w:type="pct"/>
            <w:tcBorders>
              <w:top w:val="single" w:color="auto" w:sz="4" w:space="0"/>
              <w:left w:val="single" w:color="auto" w:sz="4" w:space="0"/>
              <w:bottom w:val="single" w:color="auto" w:sz="4" w:space="0"/>
              <w:right w:val="single" w:color="auto" w:sz="4" w:space="0"/>
            </w:tcBorders>
            <w:vAlign w:val="center"/>
          </w:tcPr>
          <w:p w14:paraId="1ED2B99F">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527" w:type="pct"/>
            <w:tcBorders>
              <w:top w:val="single" w:color="auto" w:sz="4" w:space="0"/>
              <w:left w:val="single" w:color="auto" w:sz="4" w:space="0"/>
              <w:bottom w:val="single" w:color="auto" w:sz="4" w:space="0"/>
              <w:right w:val="single" w:color="auto" w:sz="4" w:space="0"/>
            </w:tcBorders>
            <w:vAlign w:val="center"/>
          </w:tcPr>
          <w:p w14:paraId="64BDB41C">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810" w:type="pct"/>
            <w:tcBorders>
              <w:top w:val="single" w:color="auto" w:sz="4" w:space="0"/>
              <w:left w:val="single" w:color="auto" w:sz="4" w:space="0"/>
              <w:bottom w:val="single" w:color="auto" w:sz="4" w:space="0"/>
              <w:right w:val="single" w:color="auto" w:sz="4" w:space="0"/>
            </w:tcBorders>
            <w:vAlign w:val="center"/>
          </w:tcPr>
          <w:p w14:paraId="437B504A">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c>
          <w:tcPr>
            <w:tcW w:w="651" w:type="pct"/>
            <w:tcBorders>
              <w:top w:val="single" w:color="auto" w:sz="4" w:space="0"/>
              <w:left w:val="single" w:color="auto" w:sz="4" w:space="0"/>
              <w:bottom w:val="single" w:color="auto" w:sz="4" w:space="0"/>
              <w:right w:val="single" w:color="auto" w:sz="4" w:space="0"/>
            </w:tcBorders>
            <w:vAlign w:val="center"/>
          </w:tcPr>
          <w:p w14:paraId="24890D42">
            <w:pPr>
              <w:pStyle w:val="3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p>
        </w:tc>
      </w:tr>
    </w:tbl>
    <w:p w14:paraId="72BB0405">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sz w:val="24"/>
          <w:szCs w:val="24"/>
        </w:rPr>
      </w:pPr>
    </w:p>
    <w:p w14:paraId="5E877BD2">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特别说明：投标人应将所投产品中节能、环保产品分别列入上表中，并按本招标文件第二章</w:t>
      </w:r>
      <w:r>
        <w:rPr>
          <w:rFonts w:hint="eastAsia" w:ascii="仿宋" w:hAnsi="仿宋" w:eastAsia="仿宋" w:cs="仿宋"/>
          <w:b/>
          <w:color w:val="000000"/>
          <w:sz w:val="24"/>
          <w:szCs w:val="24"/>
          <w:lang w:val="en-US" w:eastAsia="zh-CN"/>
        </w:rPr>
        <w:t>42</w:t>
      </w:r>
      <w:r>
        <w:rPr>
          <w:rFonts w:hint="eastAsia" w:ascii="仿宋" w:hAnsi="仿宋" w:eastAsia="仿宋" w:cs="仿宋"/>
          <w:b/>
          <w:color w:val="000000"/>
          <w:sz w:val="24"/>
          <w:szCs w:val="24"/>
        </w:rPr>
        <w:t>条提供相关证明材料，未填写本表或未提供有效认证证书的不给予价格扣除。</w:t>
      </w:r>
    </w:p>
    <w:p w14:paraId="61A03283">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rPr>
      </w:pPr>
    </w:p>
    <w:p w14:paraId="48722C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bookmarkStart w:id="390" w:name="_Toc163492939"/>
      <w:r>
        <w:rPr>
          <w:rFonts w:hint="eastAsia" w:ascii="仿宋" w:hAnsi="仿宋" w:eastAsia="仿宋" w:cs="仿宋"/>
          <w:sz w:val="24"/>
          <w:szCs w:val="24"/>
        </w:rPr>
        <w:t>投标人名称：</w:t>
      </w:r>
    </w:p>
    <w:p w14:paraId="7AB1EA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日      期：</w:t>
      </w:r>
    </w:p>
    <w:p w14:paraId="6ACF89EC">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zh-CN" w:eastAsia="zh-CN"/>
        </w:rPr>
      </w:pPr>
    </w:p>
    <w:p w14:paraId="175D4354">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br w:type="page"/>
      </w:r>
    </w:p>
    <w:p w14:paraId="6EF9CFA0">
      <w:pPr>
        <w:pStyle w:val="3"/>
        <w:pageBreakBefore w:val="0"/>
        <w:widowControl w:val="0"/>
        <w:numPr>
          <w:ilvl w:val="0"/>
          <w:numId w:val="0"/>
        </w:numPr>
        <w:kinsoku/>
        <w:overflowPunct/>
        <w:topLinePunct w:val="0"/>
        <w:autoSpaceDE/>
        <w:autoSpaceDN/>
        <w:bidi w:val="0"/>
        <w:adjustRightInd/>
        <w:snapToGrid/>
        <w:spacing w:before="0" w:after="0" w:line="360" w:lineRule="auto"/>
        <w:ind w:left="0" w:leftChars="0" w:firstLine="421" w:firstLineChars="131"/>
        <w:textAlignment w:val="auto"/>
        <w:rPr>
          <w:rFonts w:hint="eastAsia" w:ascii="仿宋" w:hAnsi="仿宋" w:eastAsia="仿宋" w:cs="仿宋"/>
          <w:sz w:val="32"/>
          <w:szCs w:val="32"/>
          <w:lang w:val="en-US" w:eastAsia="zh-CN"/>
        </w:rPr>
      </w:pPr>
      <w:bookmarkStart w:id="391" w:name="_Toc10829"/>
      <w:r>
        <w:rPr>
          <w:rFonts w:hint="eastAsia" w:ascii="仿宋" w:hAnsi="仿宋" w:eastAsia="仿宋" w:cs="仿宋"/>
          <w:sz w:val="32"/>
          <w:szCs w:val="32"/>
          <w:lang w:val="en-US" w:eastAsia="zh-CN"/>
        </w:rPr>
        <w:t>2.中小企业声明函</w:t>
      </w:r>
      <w:bookmarkEnd w:id="390"/>
      <w:r>
        <w:rPr>
          <w:rFonts w:hint="eastAsia" w:ascii="仿宋" w:hAnsi="仿宋" w:eastAsia="仿宋" w:cs="仿宋"/>
          <w:sz w:val="32"/>
          <w:szCs w:val="32"/>
          <w:lang w:val="zh-CN"/>
        </w:rPr>
        <w:t>【如适用】</w:t>
      </w:r>
      <w:bookmarkEnd w:id="391"/>
    </w:p>
    <w:p w14:paraId="5CDF9DEF">
      <w:pPr>
        <w:pStyle w:val="24"/>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1</w:t>
      </w:r>
      <w:r>
        <w:rPr>
          <w:rFonts w:hint="eastAsia" w:ascii="仿宋" w:hAnsi="仿宋" w:eastAsia="仿宋" w:cs="仿宋"/>
          <w:color w:val="000000"/>
          <w:sz w:val="24"/>
          <w:lang w:eastAsia="zh-CN"/>
        </w:rPr>
        <w:t>）</w:t>
      </w:r>
      <w:r>
        <w:rPr>
          <w:rFonts w:hint="eastAsia" w:ascii="仿宋" w:hAnsi="仿宋" w:eastAsia="仿宋" w:cs="仿宋"/>
          <w:color w:val="000000"/>
          <w:sz w:val="24"/>
        </w:rPr>
        <w:t>中小企业声明函（</w:t>
      </w:r>
      <w:r>
        <w:rPr>
          <w:rFonts w:hint="eastAsia" w:ascii="仿宋" w:hAnsi="仿宋" w:eastAsia="仿宋" w:cs="仿宋"/>
          <w:color w:val="000000"/>
          <w:sz w:val="24"/>
          <w:lang w:val="en-US" w:eastAsia="zh-CN"/>
        </w:rPr>
        <w:t>货物</w:t>
      </w:r>
      <w:r>
        <w:rPr>
          <w:rFonts w:hint="eastAsia" w:ascii="仿宋" w:hAnsi="仿宋" w:eastAsia="仿宋" w:cs="仿宋"/>
          <w:color w:val="000000"/>
          <w:sz w:val="24"/>
        </w:rPr>
        <w:t>）</w:t>
      </w:r>
    </w:p>
    <w:p w14:paraId="35D51FA7">
      <w:pPr>
        <w:keepNext w:val="0"/>
        <w:keepLines w:val="0"/>
        <w:pageBreakBefore w:val="0"/>
        <w:widowControl w:val="0"/>
        <w:kinsoku/>
        <w:wordWrap/>
        <w:overflowPunct/>
        <w:topLinePunct w:val="0"/>
        <w:autoSpaceDE/>
        <w:autoSpaceDN/>
        <w:bidi w:val="0"/>
        <w:adjustRightInd/>
        <w:snapToGrid/>
        <w:spacing w:line="360" w:lineRule="auto"/>
        <w:ind w:right="0" w:firstLine="504"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p w14:paraId="5FD0AFE4">
      <w:pPr>
        <w:keepNext w:val="0"/>
        <w:keepLines w:val="0"/>
        <w:pageBreakBefore w:val="0"/>
        <w:widowControl w:val="0"/>
        <w:kinsoku/>
        <w:wordWrap/>
        <w:overflowPunct/>
        <w:topLinePunct w:val="0"/>
        <w:autoSpaceDE/>
        <w:autoSpaceDN/>
        <w:bidi w:val="0"/>
        <w:adjustRightInd/>
        <w:snapToGrid/>
        <w:spacing w:line="360" w:lineRule="auto"/>
        <w:ind w:right="0" w:firstLine="504"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1.</w:t>
      </w:r>
      <w:r>
        <w:rPr>
          <w:rFonts w:hint="eastAsia" w:ascii="仿宋" w:hAnsi="仿宋" w:eastAsia="仿宋" w:cs="仿宋"/>
          <w:spacing w:val="6"/>
          <w:sz w:val="24"/>
          <w:szCs w:val="24"/>
          <w:u w:val="single"/>
        </w:rPr>
        <w:t xml:space="preserve"> （标的名称） </w:t>
      </w:r>
      <w:r>
        <w:rPr>
          <w:rFonts w:hint="eastAsia" w:ascii="仿宋" w:hAnsi="仿宋" w:eastAsia="仿宋" w:cs="仿宋"/>
          <w:spacing w:val="6"/>
          <w:sz w:val="24"/>
          <w:szCs w:val="24"/>
        </w:rPr>
        <w:t>，属于</w:t>
      </w:r>
      <w:r>
        <w:rPr>
          <w:rFonts w:hint="eastAsia" w:ascii="仿宋" w:hAnsi="仿宋" w:eastAsia="仿宋" w:cs="仿宋"/>
          <w:spacing w:val="6"/>
          <w:sz w:val="24"/>
          <w:szCs w:val="24"/>
          <w:u w:val="single"/>
        </w:rPr>
        <w:t xml:space="preserve"> （采购文件中明确的所属行业）</w:t>
      </w:r>
      <w:r>
        <w:rPr>
          <w:rFonts w:hint="eastAsia" w:ascii="仿宋" w:hAnsi="仿宋" w:eastAsia="仿宋" w:cs="仿宋"/>
          <w:spacing w:val="6"/>
          <w:sz w:val="24"/>
          <w:szCs w:val="24"/>
        </w:rPr>
        <w:t>行业 ；制造商为</w:t>
      </w:r>
      <w:r>
        <w:rPr>
          <w:rFonts w:hint="eastAsia" w:ascii="仿宋" w:hAnsi="仿宋" w:eastAsia="仿宋" w:cs="仿宋"/>
          <w:spacing w:val="6"/>
          <w:sz w:val="24"/>
          <w:szCs w:val="24"/>
          <w:u w:val="single"/>
        </w:rPr>
        <w:t xml:space="preserve"> （企业名称） </w:t>
      </w:r>
      <w:r>
        <w:rPr>
          <w:rFonts w:hint="eastAsia" w:ascii="仿宋" w:hAnsi="仿宋" w:eastAsia="仿宋" w:cs="仿宋"/>
          <w:spacing w:val="6"/>
          <w:sz w:val="24"/>
          <w:szCs w:val="24"/>
        </w:rPr>
        <w:t>，从业人员</w:t>
      </w:r>
      <w:r>
        <w:rPr>
          <w:rFonts w:hint="eastAsia" w:ascii="仿宋" w:hAnsi="仿宋" w:eastAsia="仿宋" w:cs="仿宋"/>
          <w:spacing w:val="6"/>
          <w:sz w:val="24"/>
          <w:szCs w:val="24"/>
          <w:u w:val="single"/>
        </w:rPr>
        <w:t xml:space="preserve"> </w:t>
      </w:r>
      <w:r>
        <w:rPr>
          <w:rFonts w:hint="eastAsia" w:ascii="仿宋" w:hAnsi="仿宋" w:eastAsia="仿宋" w:cs="仿宋"/>
          <w:spacing w:val="6"/>
          <w:sz w:val="24"/>
          <w:szCs w:val="24"/>
          <w:u w:val="single"/>
          <w:lang w:val="en-US" w:eastAsia="zh-CN"/>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rPr>
        <w:t xml:space="preserve"> </w:t>
      </w:r>
      <w:r>
        <w:rPr>
          <w:rFonts w:hint="eastAsia" w:ascii="仿宋" w:hAnsi="仿宋" w:eastAsia="仿宋" w:cs="仿宋"/>
          <w:spacing w:val="6"/>
          <w:sz w:val="24"/>
          <w:szCs w:val="24"/>
          <w:u w:val="single"/>
          <w:lang w:val="en-US" w:eastAsia="zh-CN"/>
        </w:rPr>
        <w:t xml:space="preserve">    </w:t>
      </w:r>
      <w:r>
        <w:rPr>
          <w:rFonts w:hint="eastAsia" w:ascii="仿宋" w:hAnsi="仿宋" w:eastAsia="仿宋" w:cs="仿宋"/>
          <w:spacing w:val="6"/>
          <w:sz w:val="24"/>
          <w:szCs w:val="24"/>
        </w:rPr>
        <w:t>万元，资产总额为</w:t>
      </w:r>
      <w:r>
        <w:rPr>
          <w:rFonts w:hint="eastAsia" w:ascii="仿宋" w:hAnsi="仿宋" w:eastAsia="仿宋" w:cs="仿宋"/>
          <w:spacing w:val="6"/>
          <w:sz w:val="24"/>
          <w:szCs w:val="24"/>
          <w:u w:val="single"/>
        </w:rPr>
        <w:t xml:space="preserve"> </w:t>
      </w:r>
      <w:r>
        <w:rPr>
          <w:rFonts w:hint="eastAsia" w:ascii="仿宋" w:hAnsi="仿宋" w:eastAsia="仿宋" w:cs="仿宋"/>
          <w:spacing w:val="6"/>
          <w:sz w:val="24"/>
          <w:szCs w:val="24"/>
          <w:u w:val="single"/>
          <w:lang w:val="en-US" w:eastAsia="zh-CN"/>
        </w:rPr>
        <w:t xml:space="preserve">    </w:t>
      </w:r>
      <w:r>
        <w:rPr>
          <w:rFonts w:hint="eastAsia" w:ascii="仿宋" w:hAnsi="仿宋" w:eastAsia="仿宋" w:cs="仿宋"/>
          <w:spacing w:val="6"/>
          <w:sz w:val="24"/>
          <w:szCs w:val="24"/>
        </w:rPr>
        <w:t>万元，属于</w:t>
      </w:r>
      <w:r>
        <w:rPr>
          <w:rFonts w:hint="eastAsia" w:ascii="仿宋" w:hAnsi="仿宋" w:eastAsia="仿宋" w:cs="仿宋"/>
          <w:spacing w:val="6"/>
          <w:sz w:val="24"/>
          <w:szCs w:val="24"/>
          <w:u w:val="single"/>
        </w:rPr>
        <w:t xml:space="preserve"> （中型企业、小型企业、微型企业）</w:t>
      </w:r>
      <w:r>
        <w:rPr>
          <w:rFonts w:hint="eastAsia" w:ascii="仿宋" w:hAnsi="仿宋" w:eastAsia="仿宋" w:cs="仿宋"/>
          <w:spacing w:val="6"/>
          <w:sz w:val="24"/>
          <w:szCs w:val="24"/>
        </w:rPr>
        <w:t>；</w:t>
      </w:r>
    </w:p>
    <w:p w14:paraId="5F9A27E5">
      <w:pPr>
        <w:keepNext w:val="0"/>
        <w:keepLines w:val="0"/>
        <w:pageBreakBefore w:val="0"/>
        <w:widowControl w:val="0"/>
        <w:kinsoku/>
        <w:wordWrap/>
        <w:overflowPunct/>
        <w:topLinePunct w:val="0"/>
        <w:autoSpaceDE/>
        <w:autoSpaceDN/>
        <w:bidi w:val="0"/>
        <w:adjustRightInd/>
        <w:snapToGrid/>
        <w:spacing w:line="360" w:lineRule="auto"/>
        <w:ind w:right="0" w:firstLine="504"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lang w:val="en-US" w:eastAsia="zh-CN"/>
        </w:rPr>
        <w:t>2</w:t>
      </w:r>
      <w:r>
        <w:rPr>
          <w:rFonts w:hint="eastAsia" w:ascii="仿宋" w:hAnsi="仿宋" w:eastAsia="仿宋" w:cs="仿宋"/>
          <w:spacing w:val="6"/>
          <w:sz w:val="24"/>
          <w:szCs w:val="24"/>
        </w:rPr>
        <w:t>.</w:t>
      </w:r>
      <w:r>
        <w:rPr>
          <w:rFonts w:hint="eastAsia" w:ascii="仿宋" w:hAnsi="仿宋" w:eastAsia="仿宋" w:cs="仿宋"/>
          <w:spacing w:val="6"/>
          <w:sz w:val="24"/>
          <w:szCs w:val="24"/>
          <w:u w:val="single"/>
        </w:rPr>
        <w:t xml:space="preserve"> （标的名称） </w:t>
      </w:r>
      <w:r>
        <w:rPr>
          <w:rFonts w:hint="eastAsia" w:ascii="仿宋" w:hAnsi="仿宋" w:eastAsia="仿宋" w:cs="仿宋"/>
          <w:spacing w:val="6"/>
          <w:sz w:val="24"/>
          <w:szCs w:val="24"/>
        </w:rPr>
        <w:t>，属于</w:t>
      </w:r>
      <w:r>
        <w:rPr>
          <w:rFonts w:hint="eastAsia" w:ascii="仿宋" w:hAnsi="仿宋" w:eastAsia="仿宋" w:cs="仿宋"/>
          <w:spacing w:val="6"/>
          <w:sz w:val="24"/>
          <w:szCs w:val="24"/>
          <w:u w:val="single"/>
        </w:rPr>
        <w:t xml:space="preserve"> （采购文件中明确的所属行业）</w:t>
      </w:r>
      <w:r>
        <w:rPr>
          <w:rFonts w:hint="eastAsia" w:ascii="仿宋" w:hAnsi="仿宋" w:eastAsia="仿宋" w:cs="仿宋"/>
          <w:spacing w:val="6"/>
          <w:sz w:val="24"/>
          <w:szCs w:val="24"/>
        </w:rPr>
        <w:t>行业 ；制造商为</w:t>
      </w:r>
      <w:r>
        <w:rPr>
          <w:rFonts w:hint="eastAsia" w:ascii="仿宋" w:hAnsi="仿宋" w:eastAsia="仿宋" w:cs="仿宋"/>
          <w:spacing w:val="6"/>
          <w:sz w:val="24"/>
          <w:szCs w:val="24"/>
          <w:u w:val="single"/>
        </w:rPr>
        <w:t xml:space="preserve"> （企业名称） </w:t>
      </w:r>
      <w:r>
        <w:rPr>
          <w:rFonts w:hint="eastAsia" w:ascii="仿宋" w:hAnsi="仿宋" w:eastAsia="仿宋" w:cs="仿宋"/>
          <w:spacing w:val="6"/>
          <w:sz w:val="24"/>
          <w:szCs w:val="24"/>
        </w:rPr>
        <w:t>，从业人员</w:t>
      </w:r>
      <w:r>
        <w:rPr>
          <w:rFonts w:hint="eastAsia" w:ascii="仿宋" w:hAnsi="仿宋" w:eastAsia="仿宋" w:cs="仿宋"/>
          <w:spacing w:val="6"/>
          <w:sz w:val="24"/>
          <w:szCs w:val="24"/>
          <w:u w:val="single"/>
        </w:rPr>
        <w:t xml:space="preserve"> </w:t>
      </w:r>
      <w:r>
        <w:rPr>
          <w:rFonts w:hint="eastAsia" w:ascii="仿宋" w:hAnsi="仿宋" w:eastAsia="仿宋" w:cs="仿宋"/>
          <w:spacing w:val="6"/>
          <w:sz w:val="24"/>
          <w:szCs w:val="24"/>
          <w:u w:val="single"/>
          <w:lang w:val="en-US" w:eastAsia="zh-CN"/>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rPr>
        <w:t xml:space="preserve"> </w:t>
      </w:r>
      <w:r>
        <w:rPr>
          <w:rFonts w:hint="eastAsia" w:ascii="仿宋" w:hAnsi="仿宋" w:eastAsia="仿宋" w:cs="仿宋"/>
          <w:spacing w:val="6"/>
          <w:sz w:val="24"/>
          <w:szCs w:val="24"/>
          <w:u w:val="single"/>
          <w:lang w:val="en-US" w:eastAsia="zh-CN"/>
        </w:rPr>
        <w:t xml:space="preserve">    </w:t>
      </w:r>
      <w:r>
        <w:rPr>
          <w:rFonts w:hint="eastAsia" w:ascii="仿宋" w:hAnsi="仿宋" w:eastAsia="仿宋" w:cs="仿宋"/>
          <w:spacing w:val="6"/>
          <w:sz w:val="24"/>
          <w:szCs w:val="24"/>
        </w:rPr>
        <w:t>万元，资产总额为</w:t>
      </w:r>
      <w:r>
        <w:rPr>
          <w:rFonts w:hint="eastAsia" w:ascii="仿宋" w:hAnsi="仿宋" w:eastAsia="仿宋" w:cs="仿宋"/>
          <w:spacing w:val="6"/>
          <w:sz w:val="24"/>
          <w:szCs w:val="24"/>
          <w:u w:val="single"/>
        </w:rPr>
        <w:t xml:space="preserve"> </w:t>
      </w:r>
      <w:r>
        <w:rPr>
          <w:rFonts w:hint="eastAsia" w:ascii="仿宋" w:hAnsi="仿宋" w:eastAsia="仿宋" w:cs="仿宋"/>
          <w:spacing w:val="6"/>
          <w:sz w:val="24"/>
          <w:szCs w:val="24"/>
          <w:u w:val="single"/>
          <w:lang w:val="en-US" w:eastAsia="zh-CN"/>
        </w:rPr>
        <w:t xml:space="preserve">    </w:t>
      </w:r>
      <w:r>
        <w:rPr>
          <w:rFonts w:hint="eastAsia" w:ascii="仿宋" w:hAnsi="仿宋" w:eastAsia="仿宋" w:cs="仿宋"/>
          <w:spacing w:val="6"/>
          <w:sz w:val="24"/>
          <w:szCs w:val="24"/>
        </w:rPr>
        <w:t>万元，属于</w:t>
      </w:r>
      <w:r>
        <w:rPr>
          <w:rFonts w:hint="eastAsia" w:ascii="仿宋" w:hAnsi="仿宋" w:eastAsia="仿宋" w:cs="仿宋"/>
          <w:spacing w:val="6"/>
          <w:sz w:val="24"/>
          <w:szCs w:val="24"/>
          <w:u w:val="single"/>
        </w:rPr>
        <w:t xml:space="preserve"> （中型企业、小型企业、微型企业）</w:t>
      </w:r>
      <w:r>
        <w:rPr>
          <w:rFonts w:hint="eastAsia" w:ascii="仿宋" w:hAnsi="仿宋" w:eastAsia="仿宋" w:cs="仿宋"/>
          <w:spacing w:val="6"/>
          <w:sz w:val="24"/>
          <w:szCs w:val="24"/>
        </w:rPr>
        <w:t>；</w:t>
      </w:r>
    </w:p>
    <w:p w14:paraId="4BA8F983">
      <w:pPr>
        <w:keepNext w:val="0"/>
        <w:keepLines w:val="0"/>
        <w:pageBreakBefore w:val="0"/>
        <w:widowControl w:val="0"/>
        <w:kinsoku/>
        <w:wordWrap/>
        <w:overflowPunct/>
        <w:topLinePunct w:val="0"/>
        <w:autoSpaceDE/>
        <w:autoSpaceDN/>
        <w:bidi w:val="0"/>
        <w:adjustRightInd/>
        <w:snapToGrid/>
        <w:spacing w:line="360" w:lineRule="auto"/>
        <w:ind w:right="0" w:firstLine="504"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w:t>
      </w:r>
    </w:p>
    <w:p w14:paraId="1330A2B2">
      <w:pPr>
        <w:keepNext w:val="0"/>
        <w:keepLines w:val="0"/>
        <w:pageBreakBefore w:val="0"/>
        <w:widowControl w:val="0"/>
        <w:kinsoku/>
        <w:wordWrap/>
        <w:overflowPunct/>
        <w:topLinePunct w:val="0"/>
        <w:autoSpaceDE/>
        <w:autoSpaceDN/>
        <w:bidi w:val="0"/>
        <w:adjustRightInd/>
        <w:snapToGrid/>
        <w:spacing w:line="360" w:lineRule="auto"/>
        <w:ind w:right="0" w:firstLine="504"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以上企业，不属于大企业的分支机构，不存在控股股东为大企业的情形，也不存在与大企业的负责人为同一人的情形。</w:t>
      </w:r>
    </w:p>
    <w:p w14:paraId="06B2C4B2">
      <w:pPr>
        <w:keepNext w:val="0"/>
        <w:keepLines w:val="0"/>
        <w:pageBreakBefore w:val="0"/>
        <w:widowControl w:val="0"/>
        <w:kinsoku/>
        <w:wordWrap/>
        <w:overflowPunct/>
        <w:topLinePunct w:val="0"/>
        <w:autoSpaceDE/>
        <w:autoSpaceDN/>
        <w:bidi w:val="0"/>
        <w:adjustRightInd/>
        <w:snapToGrid/>
        <w:spacing w:line="360" w:lineRule="auto"/>
        <w:ind w:right="0" w:firstLine="504"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本企业对上述声明内容的真实性负责。如有虚假，将依法承担相应责任。</w:t>
      </w:r>
    </w:p>
    <w:p w14:paraId="7FB5E672">
      <w:pPr>
        <w:keepNext w:val="0"/>
        <w:keepLines w:val="0"/>
        <w:pageBreakBefore w:val="0"/>
        <w:widowControl w:val="0"/>
        <w:kinsoku/>
        <w:wordWrap/>
        <w:overflowPunct/>
        <w:topLinePunct w:val="0"/>
        <w:autoSpaceDE/>
        <w:autoSpaceDN/>
        <w:bidi w:val="0"/>
        <w:adjustRightInd/>
        <w:snapToGrid/>
        <w:spacing w:line="360" w:lineRule="auto"/>
        <w:ind w:right="0" w:firstLine="504" w:firstLineChars="200"/>
        <w:textAlignment w:val="auto"/>
        <w:rPr>
          <w:rFonts w:hint="eastAsia" w:ascii="仿宋" w:hAnsi="仿宋" w:eastAsia="仿宋" w:cs="仿宋"/>
          <w:spacing w:val="6"/>
          <w:sz w:val="24"/>
          <w:szCs w:val="24"/>
        </w:rPr>
      </w:pPr>
    </w:p>
    <w:p w14:paraId="5111D201">
      <w:pPr>
        <w:keepNext w:val="0"/>
        <w:keepLines w:val="0"/>
        <w:pageBreakBefore w:val="0"/>
        <w:widowControl w:val="0"/>
        <w:kinsoku/>
        <w:wordWrap/>
        <w:overflowPunct/>
        <w:topLinePunct w:val="0"/>
        <w:autoSpaceDE/>
        <w:autoSpaceDN/>
        <w:bidi w:val="0"/>
        <w:adjustRightInd/>
        <w:snapToGrid/>
        <w:spacing w:line="360" w:lineRule="auto"/>
        <w:ind w:right="0" w:firstLine="504"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企业名称：</w:t>
      </w:r>
    </w:p>
    <w:p w14:paraId="7BA275D3">
      <w:pPr>
        <w:keepNext w:val="0"/>
        <w:keepLines w:val="0"/>
        <w:pageBreakBefore w:val="0"/>
        <w:widowControl w:val="0"/>
        <w:kinsoku/>
        <w:wordWrap/>
        <w:overflowPunct/>
        <w:topLinePunct w:val="0"/>
        <w:autoSpaceDE/>
        <w:autoSpaceDN/>
        <w:bidi w:val="0"/>
        <w:adjustRightInd/>
        <w:snapToGrid/>
        <w:spacing w:line="360" w:lineRule="auto"/>
        <w:ind w:right="0" w:firstLine="504"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 xml:space="preserve">日 </w:t>
      </w:r>
      <w:r>
        <w:rPr>
          <w:rFonts w:hint="eastAsia" w:ascii="仿宋" w:hAnsi="仿宋" w:eastAsia="仿宋" w:cs="仿宋"/>
          <w:spacing w:val="6"/>
          <w:sz w:val="24"/>
          <w:szCs w:val="24"/>
          <w:lang w:val="en-US" w:eastAsia="zh-CN"/>
        </w:rPr>
        <w:t xml:space="preserve">   </w:t>
      </w:r>
      <w:r>
        <w:rPr>
          <w:rFonts w:hint="eastAsia" w:ascii="仿宋" w:hAnsi="仿宋" w:eastAsia="仿宋" w:cs="仿宋"/>
          <w:spacing w:val="6"/>
          <w:sz w:val="24"/>
          <w:szCs w:val="24"/>
        </w:rPr>
        <w:t>期：</w:t>
      </w:r>
    </w:p>
    <w:p w14:paraId="4AA79C8D">
      <w:pPr>
        <w:keepNext w:val="0"/>
        <w:keepLines w:val="0"/>
        <w:pageBreakBefore w:val="0"/>
        <w:widowControl w:val="0"/>
        <w:kinsoku/>
        <w:wordWrap/>
        <w:overflowPunct/>
        <w:topLinePunct w:val="0"/>
        <w:autoSpaceDE/>
        <w:autoSpaceDN/>
        <w:bidi w:val="0"/>
        <w:adjustRightInd/>
        <w:snapToGrid/>
        <w:spacing w:line="360" w:lineRule="auto"/>
        <w:ind w:right="0" w:firstLine="504" w:firstLineChars="200"/>
        <w:textAlignment w:val="auto"/>
        <w:rPr>
          <w:rFonts w:hint="eastAsia" w:ascii="仿宋" w:hAnsi="仿宋" w:eastAsia="仿宋" w:cs="仿宋"/>
          <w:spacing w:val="6"/>
          <w:sz w:val="24"/>
          <w:szCs w:val="24"/>
        </w:rPr>
      </w:pPr>
    </w:p>
    <w:p w14:paraId="6F5FB479">
      <w:pPr>
        <w:keepNext w:val="0"/>
        <w:keepLines w:val="0"/>
        <w:pageBreakBefore w:val="0"/>
        <w:widowControl w:val="0"/>
        <w:kinsoku/>
        <w:wordWrap/>
        <w:overflowPunct/>
        <w:topLinePunct w:val="0"/>
        <w:autoSpaceDE/>
        <w:autoSpaceDN/>
        <w:bidi w:val="0"/>
        <w:adjustRightInd/>
        <w:snapToGrid/>
        <w:spacing w:line="360" w:lineRule="auto"/>
        <w:ind w:right="0" w:firstLine="506" w:firstLineChars="200"/>
        <w:textAlignment w:val="auto"/>
        <w:rPr>
          <w:rFonts w:hint="eastAsia" w:ascii="仿宋" w:hAnsi="仿宋" w:eastAsia="仿宋" w:cs="仿宋"/>
          <w:spacing w:val="6"/>
          <w:sz w:val="24"/>
          <w:szCs w:val="24"/>
        </w:rPr>
      </w:pPr>
      <w:r>
        <w:rPr>
          <w:rFonts w:hint="eastAsia" w:ascii="仿宋" w:hAnsi="仿宋" w:eastAsia="仿宋" w:cs="仿宋"/>
          <w:b/>
          <w:bCs/>
          <w:spacing w:val="6"/>
          <w:sz w:val="24"/>
          <w:szCs w:val="24"/>
        </w:rPr>
        <w:t>说明：</w:t>
      </w:r>
      <w:r>
        <w:rPr>
          <w:rFonts w:hint="eastAsia" w:ascii="仿宋" w:hAnsi="仿宋" w:eastAsia="仿宋" w:cs="仿宋"/>
          <w:spacing w:val="6"/>
          <w:sz w:val="24"/>
          <w:szCs w:val="24"/>
        </w:rPr>
        <w:t>从业人员、营业收入、资产总额填报上一年度数据，无上一年度数据的新成立企业可不填报。</w:t>
      </w:r>
    </w:p>
    <w:p w14:paraId="0C7CC389">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ascii="仿宋" w:hAnsi="仿宋" w:eastAsia="仿宋" w:cs="仿宋"/>
          <w:color w:val="000000"/>
          <w:sz w:val="24"/>
        </w:rPr>
      </w:pPr>
    </w:p>
    <w:p w14:paraId="33FC25E4">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zh-CN" w:eastAsia="zh-CN"/>
        </w:rPr>
      </w:pPr>
      <w:bookmarkStart w:id="392" w:name="_Toc163492940"/>
    </w:p>
    <w:p w14:paraId="7E83AD6E">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zh-CN" w:eastAsia="zh-CN"/>
        </w:rPr>
      </w:pPr>
    </w:p>
    <w:p w14:paraId="67FBB56D">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br w:type="page"/>
      </w:r>
    </w:p>
    <w:p w14:paraId="061F28C3">
      <w:pPr>
        <w:pStyle w:val="3"/>
        <w:pageBreakBefore w:val="0"/>
        <w:widowControl w:val="0"/>
        <w:numPr>
          <w:ilvl w:val="0"/>
          <w:numId w:val="0"/>
        </w:numPr>
        <w:kinsoku/>
        <w:overflowPunct/>
        <w:topLinePunct w:val="0"/>
        <w:autoSpaceDE/>
        <w:autoSpaceDN/>
        <w:bidi w:val="0"/>
        <w:adjustRightInd/>
        <w:snapToGrid/>
        <w:spacing w:before="0" w:after="0" w:line="360" w:lineRule="auto"/>
        <w:ind w:left="0" w:leftChars="0" w:firstLine="421" w:firstLineChars="131"/>
        <w:textAlignment w:val="auto"/>
        <w:rPr>
          <w:rFonts w:hint="eastAsia" w:ascii="仿宋" w:hAnsi="仿宋" w:eastAsia="仿宋" w:cs="仿宋"/>
          <w:sz w:val="32"/>
          <w:szCs w:val="32"/>
          <w:lang w:val="en-US" w:eastAsia="zh-CN"/>
        </w:rPr>
      </w:pPr>
      <w:bookmarkStart w:id="393" w:name="_Toc3302"/>
      <w:r>
        <w:rPr>
          <w:rFonts w:hint="eastAsia" w:ascii="仿宋" w:hAnsi="仿宋" w:eastAsia="仿宋" w:cs="仿宋"/>
          <w:sz w:val="32"/>
          <w:szCs w:val="32"/>
          <w:lang w:val="en-US" w:eastAsia="zh-CN"/>
        </w:rPr>
        <w:t>3.监狱企业证明文件【如适用】</w:t>
      </w:r>
      <w:bookmarkEnd w:id="392"/>
      <w:bookmarkEnd w:id="393"/>
    </w:p>
    <w:p w14:paraId="057DB5EF">
      <w:pPr>
        <w:pStyle w:val="24"/>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【（监狱企业应当提供由省级及以上监狱管理局、戒毒管理局（含新疆生产建设兵团）出具的监狱企业的证明文件，格式自行编写）】。</w:t>
      </w:r>
    </w:p>
    <w:p w14:paraId="4CB37869">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rPr>
      </w:pPr>
    </w:p>
    <w:p w14:paraId="3190A382">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ascii="仿宋" w:hAnsi="仿宋" w:eastAsia="仿宋" w:cs="仿宋"/>
          <w:color w:val="000000"/>
          <w:sz w:val="24"/>
        </w:rPr>
      </w:pPr>
    </w:p>
    <w:p w14:paraId="2FD1B1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bookmarkStart w:id="394" w:name="_Toc163492941"/>
      <w:r>
        <w:rPr>
          <w:rFonts w:hint="eastAsia" w:ascii="仿宋" w:hAnsi="仿宋" w:eastAsia="仿宋" w:cs="仿宋"/>
          <w:sz w:val="24"/>
          <w:szCs w:val="24"/>
        </w:rPr>
        <w:t>投标人名称：</w:t>
      </w:r>
    </w:p>
    <w:p w14:paraId="68E787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日      期：</w:t>
      </w:r>
    </w:p>
    <w:p w14:paraId="2C35F927">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zh-CN" w:eastAsia="zh-CN"/>
        </w:rPr>
      </w:pPr>
    </w:p>
    <w:p w14:paraId="572AC893">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zh-CN" w:eastAsia="zh-CN"/>
        </w:rPr>
      </w:pPr>
    </w:p>
    <w:p w14:paraId="5BC60D8F">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br w:type="page"/>
      </w:r>
    </w:p>
    <w:p w14:paraId="1029F186">
      <w:pPr>
        <w:pStyle w:val="3"/>
        <w:pageBreakBefore w:val="0"/>
        <w:widowControl w:val="0"/>
        <w:numPr>
          <w:ilvl w:val="0"/>
          <w:numId w:val="0"/>
        </w:numPr>
        <w:kinsoku/>
        <w:overflowPunct/>
        <w:topLinePunct w:val="0"/>
        <w:autoSpaceDE/>
        <w:autoSpaceDN/>
        <w:bidi w:val="0"/>
        <w:adjustRightInd/>
        <w:snapToGrid/>
        <w:spacing w:before="0" w:after="0" w:line="360" w:lineRule="auto"/>
        <w:ind w:left="0" w:leftChars="0" w:firstLine="421" w:firstLineChars="131"/>
        <w:textAlignment w:val="auto"/>
        <w:rPr>
          <w:rFonts w:hint="eastAsia" w:ascii="仿宋" w:hAnsi="仿宋" w:eastAsia="仿宋" w:cs="仿宋"/>
          <w:sz w:val="32"/>
          <w:szCs w:val="32"/>
          <w:lang w:val="en-US" w:eastAsia="zh-CN"/>
        </w:rPr>
      </w:pPr>
      <w:bookmarkStart w:id="395" w:name="_Toc3211"/>
      <w:r>
        <w:rPr>
          <w:rFonts w:hint="eastAsia" w:ascii="仿宋" w:hAnsi="仿宋" w:eastAsia="仿宋" w:cs="仿宋"/>
          <w:sz w:val="32"/>
          <w:szCs w:val="32"/>
          <w:lang w:val="en-US" w:eastAsia="zh-CN"/>
        </w:rPr>
        <w:t>4.残疾人福利性单位声明函【如适用】</w:t>
      </w:r>
      <w:bookmarkEnd w:id="394"/>
      <w:bookmarkEnd w:id="395"/>
    </w:p>
    <w:p w14:paraId="39F84D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i w:val="0"/>
          <w:iCs w:val="0"/>
          <w:color w:val="000000"/>
          <w:kern w:val="2"/>
          <w:sz w:val="24"/>
          <w:szCs w:val="20"/>
          <w:lang w:val="en-US" w:eastAsia="zh-CN" w:bidi="ar-SA"/>
        </w:rPr>
      </w:pPr>
      <w:r>
        <w:rPr>
          <w:rFonts w:hint="eastAsia" w:ascii="仿宋" w:hAnsi="仿宋" w:eastAsia="仿宋" w:cs="仿宋"/>
          <w:i w:val="0"/>
          <w:iCs w:val="0"/>
          <w:color w:val="000000"/>
          <w:kern w:val="2"/>
          <w:sz w:val="24"/>
          <w:szCs w:val="20"/>
          <w:lang w:val="en-US" w:eastAsia="zh-CN" w:bidi="ar-SA"/>
        </w:rPr>
        <w:t>（1）残疾人福利性单位声明函（货物）</w:t>
      </w:r>
    </w:p>
    <w:p w14:paraId="0DF6B909">
      <w:pPr>
        <w:keepNext w:val="0"/>
        <w:keepLines w:val="0"/>
        <w:pageBreakBefore w:val="0"/>
        <w:widowControl w:val="0"/>
        <w:kinsoku/>
        <w:wordWrap w:val="0"/>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i w:val="0"/>
          <w:iCs w:val="0"/>
          <w:sz w:val="24"/>
          <w:szCs w:val="24"/>
        </w:rPr>
      </w:pPr>
      <w:r>
        <w:rPr>
          <w:rFonts w:hint="eastAsia" w:ascii="仿宋" w:hAnsi="仿宋" w:eastAsia="仿宋" w:cs="仿宋"/>
          <w:i w:val="0"/>
          <w:iCs w:val="0"/>
          <w:sz w:val="24"/>
          <w:szCs w:val="24"/>
        </w:rPr>
        <w:t>本公司（联合体）郑重声明，根据《财政部 民政部 中国残疾人联合会关于促进残疾人就业政府采购政策的通知》（财库〔2017〕141号）的规定，本公司（联合体）参加</w:t>
      </w:r>
      <w:r>
        <w:rPr>
          <w:rFonts w:hint="eastAsia" w:ascii="仿宋" w:hAnsi="仿宋" w:eastAsia="仿宋" w:cs="仿宋"/>
          <w:i w:val="0"/>
          <w:iCs w:val="0"/>
          <w:sz w:val="24"/>
          <w:szCs w:val="24"/>
          <w:u w:val="single"/>
        </w:rPr>
        <w:t xml:space="preserve"> （单位名称） </w:t>
      </w:r>
      <w:r>
        <w:rPr>
          <w:rFonts w:hint="eastAsia" w:ascii="仿宋" w:hAnsi="仿宋" w:eastAsia="仿宋" w:cs="仿宋"/>
          <w:i w:val="0"/>
          <w:iCs w:val="0"/>
          <w:sz w:val="24"/>
          <w:szCs w:val="24"/>
        </w:rPr>
        <w:t>的</w:t>
      </w:r>
      <w:r>
        <w:rPr>
          <w:rFonts w:hint="eastAsia" w:ascii="仿宋" w:hAnsi="仿宋" w:eastAsia="仿宋" w:cs="仿宋"/>
          <w:i w:val="0"/>
          <w:iCs w:val="0"/>
          <w:sz w:val="24"/>
          <w:szCs w:val="24"/>
          <w:u w:val="single"/>
        </w:rPr>
        <w:t xml:space="preserve"> （项目名称） </w:t>
      </w:r>
      <w:r>
        <w:rPr>
          <w:rFonts w:hint="eastAsia" w:ascii="仿宋" w:hAnsi="仿宋" w:eastAsia="仿宋" w:cs="仿宋"/>
          <w:i w:val="0"/>
          <w:iCs w:val="0"/>
          <w:sz w:val="24"/>
          <w:szCs w:val="24"/>
        </w:rPr>
        <w:t>采购活动，提供的货物</w:t>
      </w:r>
      <w:r>
        <w:rPr>
          <w:rFonts w:hint="eastAsia" w:ascii="仿宋" w:hAnsi="仿宋" w:eastAsia="仿宋" w:cs="仿宋"/>
          <w:b/>
          <w:i w:val="0"/>
          <w:iCs w:val="0"/>
          <w:sz w:val="24"/>
          <w:szCs w:val="24"/>
        </w:rPr>
        <w:t>全部由</w:t>
      </w:r>
      <w:r>
        <w:rPr>
          <w:rFonts w:hint="eastAsia" w:ascii="仿宋" w:hAnsi="仿宋" w:eastAsia="仿宋" w:cs="仿宋"/>
          <w:i w:val="0"/>
          <w:iCs w:val="0"/>
          <w:sz w:val="24"/>
          <w:szCs w:val="24"/>
        </w:rPr>
        <w:t>符合政策要求的</w:t>
      </w:r>
      <w:r>
        <w:rPr>
          <w:rFonts w:hint="eastAsia" w:ascii="仿宋" w:hAnsi="仿宋" w:eastAsia="仿宋" w:cs="仿宋"/>
          <w:b/>
          <w:i w:val="0"/>
          <w:iCs w:val="0"/>
          <w:sz w:val="24"/>
          <w:szCs w:val="24"/>
        </w:rPr>
        <w:t>残疾人福利性单位制造</w:t>
      </w:r>
      <w:r>
        <w:rPr>
          <w:rFonts w:hint="eastAsia" w:ascii="仿宋" w:hAnsi="仿宋" w:eastAsia="仿宋" w:cs="仿宋"/>
          <w:i w:val="0"/>
          <w:iCs w:val="0"/>
          <w:sz w:val="24"/>
          <w:szCs w:val="24"/>
        </w:rPr>
        <w:t>。相关企业（含联合体中的残疾人福利性单位、签订分包意向协议的残疾人福利性单位）的具体情况如下：</w:t>
      </w:r>
    </w:p>
    <w:p w14:paraId="1FEBFB2D">
      <w:pPr>
        <w:keepNext w:val="0"/>
        <w:keepLines w:val="0"/>
        <w:pageBreakBefore w:val="0"/>
        <w:widowControl w:val="0"/>
        <w:kinsoku/>
        <w:wordWrap w:val="0"/>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i w:val="0"/>
          <w:iCs w:val="0"/>
          <w:sz w:val="24"/>
          <w:szCs w:val="24"/>
        </w:rPr>
      </w:pPr>
      <w:r>
        <w:rPr>
          <w:rFonts w:hint="eastAsia" w:ascii="仿宋" w:hAnsi="仿宋" w:eastAsia="仿宋" w:cs="仿宋"/>
          <w:i w:val="0"/>
          <w:iCs w:val="0"/>
          <w:sz w:val="24"/>
          <w:szCs w:val="24"/>
        </w:rPr>
        <w:t>1.</w:t>
      </w:r>
      <w:r>
        <w:rPr>
          <w:rFonts w:hint="eastAsia" w:ascii="仿宋" w:hAnsi="仿宋" w:eastAsia="仿宋" w:cs="仿宋"/>
          <w:i w:val="0"/>
          <w:iCs w:val="0"/>
          <w:sz w:val="24"/>
          <w:szCs w:val="24"/>
          <w:u w:val="single"/>
        </w:rPr>
        <w:t xml:space="preserve"> （标的名称） </w:t>
      </w:r>
      <w:r>
        <w:rPr>
          <w:rFonts w:hint="eastAsia" w:ascii="仿宋" w:hAnsi="仿宋" w:eastAsia="仿宋" w:cs="仿宋"/>
          <w:i w:val="0"/>
          <w:iCs w:val="0"/>
          <w:sz w:val="24"/>
          <w:szCs w:val="24"/>
        </w:rPr>
        <w:t xml:space="preserve">，制造商为 </w:t>
      </w:r>
      <w:r>
        <w:rPr>
          <w:rFonts w:hint="eastAsia" w:ascii="仿宋" w:hAnsi="仿宋" w:eastAsia="仿宋" w:cs="仿宋"/>
          <w:i w:val="0"/>
          <w:iCs w:val="0"/>
          <w:sz w:val="24"/>
          <w:szCs w:val="24"/>
          <w:u w:val="single"/>
        </w:rPr>
        <w:t xml:space="preserve">  （企业名称） </w:t>
      </w:r>
      <w:r>
        <w:rPr>
          <w:rFonts w:hint="eastAsia" w:ascii="仿宋" w:hAnsi="仿宋" w:eastAsia="仿宋" w:cs="仿宋"/>
          <w:i w:val="0"/>
          <w:iCs w:val="0"/>
          <w:sz w:val="24"/>
          <w:szCs w:val="24"/>
        </w:rPr>
        <w:t>，属于残疾人福利性单位；</w:t>
      </w:r>
    </w:p>
    <w:p w14:paraId="2D296850">
      <w:pPr>
        <w:keepNext w:val="0"/>
        <w:keepLines w:val="0"/>
        <w:pageBreakBefore w:val="0"/>
        <w:widowControl w:val="0"/>
        <w:kinsoku/>
        <w:wordWrap w:val="0"/>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i w:val="0"/>
          <w:iCs w:val="0"/>
          <w:sz w:val="24"/>
          <w:szCs w:val="24"/>
        </w:rPr>
      </w:pPr>
      <w:r>
        <w:rPr>
          <w:rFonts w:hint="eastAsia" w:ascii="仿宋" w:hAnsi="仿宋" w:eastAsia="仿宋" w:cs="仿宋"/>
          <w:i w:val="0"/>
          <w:iCs w:val="0"/>
          <w:sz w:val="24"/>
          <w:szCs w:val="24"/>
        </w:rPr>
        <w:t xml:space="preserve">2. </w:t>
      </w:r>
      <w:r>
        <w:rPr>
          <w:rFonts w:hint="eastAsia" w:ascii="仿宋" w:hAnsi="仿宋" w:eastAsia="仿宋" w:cs="仿宋"/>
          <w:i w:val="0"/>
          <w:iCs w:val="0"/>
          <w:sz w:val="24"/>
          <w:szCs w:val="24"/>
          <w:u w:val="single"/>
        </w:rPr>
        <w:t xml:space="preserve">（标的名称） </w:t>
      </w:r>
      <w:r>
        <w:rPr>
          <w:rFonts w:hint="eastAsia" w:ascii="仿宋" w:hAnsi="仿宋" w:eastAsia="仿宋" w:cs="仿宋"/>
          <w:i w:val="0"/>
          <w:iCs w:val="0"/>
          <w:sz w:val="24"/>
          <w:szCs w:val="24"/>
        </w:rPr>
        <w:t xml:space="preserve">，制造商为 </w:t>
      </w:r>
      <w:r>
        <w:rPr>
          <w:rFonts w:hint="eastAsia" w:ascii="仿宋" w:hAnsi="仿宋" w:eastAsia="仿宋" w:cs="仿宋"/>
          <w:i w:val="0"/>
          <w:iCs w:val="0"/>
          <w:sz w:val="24"/>
          <w:szCs w:val="24"/>
          <w:u w:val="single"/>
        </w:rPr>
        <w:t xml:space="preserve">  （企业名称） </w:t>
      </w:r>
      <w:r>
        <w:rPr>
          <w:rFonts w:hint="eastAsia" w:ascii="仿宋" w:hAnsi="仿宋" w:eastAsia="仿宋" w:cs="仿宋"/>
          <w:i w:val="0"/>
          <w:iCs w:val="0"/>
          <w:sz w:val="24"/>
          <w:szCs w:val="24"/>
        </w:rPr>
        <w:t>，属于残疾人福利性单位；</w:t>
      </w:r>
    </w:p>
    <w:p w14:paraId="5069A886">
      <w:pPr>
        <w:keepNext w:val="0"/>
        <w:keepLines w:val="0"/>
        <w:pageBreakBefore w:val="0"/>
        <w:widowControl w:val="0"/>
        <w:kinsoku/>
        <w:wordWrap w:val="0"/>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i w:val="0"/>
          <w:iCs w:val="0"/>
          <w:sz w:val="24"/>
          <w:szCs w:val="24"/>
        </w:rPr>
      </w:pPr>
      <w:r>
        <w:rPr>
          <w:rFonts w:hint="eastAsia" w:ascii="仿宋" w:hAnsi="仿宋" w:eastAsia="仿宋" w:cs="仿宋"/>
          <w:i w:val="0"/>
          <w:iCs w:val="0"/>
          <w:sz w:val="24"/>
          <w:szCs w:val="24"/>
        </w:rPr>
        <w:t>……</w:t>
      </w:r>
    </w:p>
    <w:p w14:paraId="30C289A1">
      <w:pPr>
        <w:keepNext w:val="0"/>
        <w:keepLines w:val="0"/>
        <w:pageBreakBefore w:val="0"/>
        <w:widowControl w:val="0"/>
        <w:kinsoku/>
        <w:wordWrap w:val="0"/>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i w:val="0"/>
          <w:iCs w:val="0"/>
          <w:sz w:val="24"/>
          <w:szCs w:val="24"/>
        </w:rPr>
      </w:pPr>
      <w:r>
        <w:rPr>
          <w:rFonts w:hint="eastAsia" w:ascii="仿宋" w:hAnsi="仿宋" w:eastAsia="仿宋" w:cs="仿宋"/>
          <w:i w:val="0"/>
          <w:iCs w:val="0"/>
          <w:sz w:val="24"/>
          <w:szCs w:val="24"/>
        </w:rPr>
        <w:t>以上企业，不属于大企业的分支机构，不存在控股股东为大企业的情形，也不存在与大企业的负责人为同一人的情形。</w:t>
      </w:r>
    </w:p>
    <w:p w14:paraId="37B00038">
      <w:pPr>
        <w:keepNext w:val="0"/>
        <w:keepLines w:val="0"/>
        <w:pageBreakBefore w:val="0"/>
        <w:widowControl w:val="0"/>
        <w:kinsoku/>
        <w:wordWrap w:val="0"/>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i w:val="0"/>
          <w:iCs w:val="0"/>
          <w:sz w:val="24"/>
          <w:szCs w:val="24"/>
        </w:rPr>
      </w:pPr>
      <w:r>
        <w:rPr>
          <w:rFonts w:hint="eastAsia" w:ascii="仿宋" w:hAnsi="仿宋" w:eastAsia="仿宋" w:cs="仿宋"/>
          <w:i w:val="0"/>
          <w:iCs w:val="0"/>
          <w:sz w:val="24"/>
          <w:szCs w:val="24"/>
        </w:rPr>
        <w:t>本企业对上述声明内容的真实性负责。如有虚假，将依法承担相应责任。</w:t>
      </w:r>
    </w:p>
    <w:p w14:paraId="6752775A">
      <w:pPr>
        <w:keepNext w:val="0"/>
        <w:keepLines w:val="0"/>
        <w:pageBreakBefore w:val="0"/>
        <w:widowControl w:val="0"/>
        <w:kinsoku/>
        <w:wordWrap w:val="0"/>
        <w:overflowPunct/>
        <w:topLinePunct w:val="0"/>
        <w:autoSpaceDE/>
        <w:autoSpaceDN/>
        <w:bidi w:val="0"/>
        <w:adjustRightInd/>
        <w:snapToGrid/>
        <w:spacing w:beforeAutospacing="0" w:afterAutospacing="0" w:line="360" w:lineRule="auto"/>
        <w:ind w:left="0" w:leftChars="0" w:firstLine="482" w:firstLineChars="200"/>
        <w:textAlignment w:val="auto"/>
        <w:rPr>
          <w:rFonts w:hint="eastAsia" w:ascii="仿宋" w:hAnsi="仿宋" w:eastAsia="仿宋" w:cs="仿宋"/>
          <w:b/>
          <w:bCs/>
          <w:i w:val="0"/>
          <w:iCs w:val="0"/>
          <w:sz w:val="24"/>
          <w:szCs w:val="24"/>
        </w:rPr>
      </w:pPr>
    </w:p>
    <w:p w14:paraId="4564EBA0">
      <w:pPr>
        <w:keepNext w:val="0"/>
        <w:keepLines w:val="0"/>
        <w:pageBreakBefore w:val="0"/>
        <w:widowControl w:val="0"/>
        <w:kinsoku/>
        <w:wordWrap w:val="0"/>
        <w:overflowPunct/>
        <w:topLinePunct w:val="0"/>
        <w:autoSpaceDE/>
        <w:autoSpaceDN/>
        <w:bidi w:val="0"/>
        <w:adjustRightInd/>
        <w:snapToGrid/>
        <w:spacing w:beforeAutospacing="0" w:afterAutospacing="0" w:line="360" w:lineRule="auto"/>
        <w:ind w:left="0" w:leftChars="0" w:firstLine="482" w:firstLineChars="200"/>
        <w:textAlignment w:val="auto"/>
        <w:rPr>
          <w:rFonts w:hint="eastAsia" w:ascii="仿宋" w:hAnsi="仿宋" w:eastAsia="仿宋" w:cs="仿宋"/>
          <w:bCs/>
          <w:i w:val="0"/>
          <w:iCs w:val="0"/>
          <w:sz w:val="24"/>
          <w:szCs w:val="24"/>
        </w:rPr>
      </w:pPr>
      <w:r>
        <w:rPr>
          <w:rFonts w:hint="eastAsia" w:ascii="仿宋" w:hAnsi="仿宋" w:eastAsia="仿宋" w:cs="仿宋"/>
          <w:b/>
          <w:bCs/>
          <w:i w:val="0"/>
          <w:iCs w:val="0"/>
          <w:sz w:val="24"/>
          <w:szCs w:val="24"/>
        </w:rPr>
        <w:t>说明：</w:t>
      </w:r>
      <w:r>
        <w:rPr>
          <w:rFonts w:hint="eastAsia" w:ascii="仿宋" w:hAnsi="仿宋" w:eastAsia="仿宋" w:cs="仿宋"/>
          <w:bCs/>
          <w:i w:val="0"/>
          <w:iCs w:val="0"/>
          <w:sz w:val="24"/>
          <w:szCs w:val="24"/>
        </w:rPr>
        <w:t>1、</w:t>
      </w:r>
      <w:r>
        <w:rPr>
          <w:rFonts w:hint="eastAsia" w:ascii="仿宋" w:hAnsi="仿宋" w:eastAsia="仿宋" w:cs="仿宋"/>
          <w:bCs/>
          <w:i w:val="0"/>
          <w:iCs w:val="0"/>
          <w:sz w:val="24"/>
          <w:szCs w:val="24"/>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148E0809">
      <w:pPr>
        <w:keepNext w:val="0"/>
        <w:keepLines w:val="0"/>
        <w:pageBreakBefore w:val="0"/>
        <w:widowControl w:val="0"/>
        <w:kinsoku/>
        <w:wordWrap w:val="0"/>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i w:val="0"/>
          <w:iCs w:val="0"/>
          <w:sz w:val="24"/>
          <w:szCs w:val="24"/>
        </w:rPr>
      </w:pPr>
      <w:r>
        <w:rPr>
          <w:rFonts w:hint="eastAsia" w:ascii="仿宋" w:hAnsi="仿宋" w:eastAsia="仿宋" w:cs="仿宋"/>
          <w:bCs/>
          <w:i w:val="0"/>
          <w:iCs w:val="0"/>
          <w:sz w:val="24"/>
          <w:szCs w:val="24"/>
          <w:lang w:val="zh-CN"/>
        </w:rPr>
        <w:t xml:space="preserve">      2、</w:t>
      </w:r>
      <w:r>
        <w:rPr>
          <w:rFonts w:hint="eastAsia" w:ascii="仿宋" w:hAnsi="仿宋" w:eastAsia="仿宋" w:cs="仿宋"/>
          <w:i w:val="0"/>
          <w:iCs w:val="0"/>
          <w:sz w:val="24"/>
          <w:szCs w:val="24"/>
        </w:rPr>
        <w:t>以联合体形式参加的，应</w:t>
      </w:r>
      <w:r>
        <w:rPr>
          <w:rFonts w:hint="eastAsia" w:ascii="仿宋" w:hAnsi="仿宋" w:eastAsia="仿宋" w:cs="仿宋"/>
          <w:bCs/>
          <w:i w:val="0"/>
          <w:iCs w:val="0"/>
          <w:sz w:val="24"/>
          <w:szCs w:val="24"/>
          <w:lang w:val="zh-CN"/>
        </w:rPr>
        <w:t>当</w:t>
      </w:r>
      <w:r>
        <w:rPr>
          <w:rFonts w:hint="eastAsia" w:ascii="仿宋" w:hAnsi="仿宋" w:eastAsia="仿宋" w:cs="仿宋"/>
          <w:i w:val="0"/>
          <w:iCs w:val="0"/>
          <w:sz w:val="24"/>
          <w:szCs w:val="24"/>
        </w:rPr>
        <w:t>由联合体各方盖章。</w:t>
      </w:r>
    </w:p>
    <w:p w14:paraId="60D3023F">
      <w:pPr>
        <w:keepNext w:val="0"/>
        <w:keepLines w:val="0"/>
        <w:pageBreakBefore w:val="0"/>
        <w:widowControl w:val="0"/>
        <w:kinsoku/>
        <w:wordWrap w:val="0"/>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仿宋" w:hAnsi="仿宋" w:eastAsia="仿宋" w:cs="仿宋"/>
          <w:bCs/>
          <w:i w:val="0"/>
          <w:iCs w:val="0"/>
          <w:sz w:val="24"/>
          <w:szCs w:val="24"/>
          <w:lang w:val="zh-CN"/>
        </w:rPr>
      </w:pPr>
    </w:p>
    <w:p w14:paraId="46F603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i w:val="0"/>
          <w:iCs w:val="0"/>
          <w:sz w:val="24"/>
          <w:szCs w:val="24"/>
        </w:rPr>
      </w:pPr>
      <w:r>
        <w:rPr>
          <w:rFonts w:hint="eastAsia" w:ascii="仿宋" w:hAnsi="仿宋" w:eastAsia="仿宋" w:cs="仿宋"/>
          <w:i w:val="0"/>
          <w:iCs w:val="0"/>
          <w:sz w:val="24"/>
          <w:szCs w:val="24"/>
        </w:rPr>
        <w:t>投标人名称：</w:t>
      </w:r>
    </w:p>
    <w:p w14:paraId="226D86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i w:val="0"/>
          <w:iCs w:val="0"/>
          <w:sz w:val="24"/>
          <w:szCs w:val="24"/>
        </w:rPr>
      </w:pPr>
      <w:r>
        <w:rPr>
          <w:rFonts w:hint="eastAsia" w:ascii="仿宋" w:hAnsi="仿宋" w:eastAsia="仿宋" w:cs="仿宋"/>
          <w:i w:val="0"/>
          <w:iCs w:val="0"/>
          <w:sz w:val="24"/>
          <w:szCs w:val="24"/>
        </w:rPr>
        <w:t>日      期：</w:t>
      </w:r>
    </w:p>
    <w:p w14:paraId="349D24B2">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zh-CN" w:eastAsia="zh-CN"/>
        </w:rPr>
      </w:pPr>
    </w:p>
    <w:p w14:paraId="2AFFF79B">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zh-CN" w:eastAsia="zh-CN"/>
        </w:rPr>
      </w:pPr>
    </w:p>
    <w:p w14:paraId="131C7A6D">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br w:type="page"/>
      </w:r>
    </w:p>
    <w:p w14:paraId="5984B6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kern w:val="2"/>
          <w:sz w:val="24"/>
          <w:szCs w:val="20"/>
          <w:lang w:val="en-US" w:eastAsia="zh-CN" w:bidi="ar-SA"/>
        </w:rPr>
      </w:pPr>
      <w:r>
        <w:rPr>
          <w:rFonts w:hint="eastAsia" w:ascii="仿宋" w:hAnsi="仿宋" w:eastAsia="仿宋" w:cs="仿宋"/>
          <w:color w:val="000000"/>
          <w:kern w:val="2"/>
          <w:sz w:val="24"/>
          <w:szCs w:val="20"/>
          <w:lang w:val="en-US" w:eastAsia="zh-CN" w:bidi="ar-SA"/>
        </w:rPr>
        <w:t>（2）其它落实政府采购政策的相关证明文件</w:t>
      </w:r>
    </w:p>
    <w:p w14:paraId="1C3F0A26">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zh-CN" w:eastAsia="zh-CN"/>
        </w:rPr>
      </w:pPr>
      <w:bookmarkStart w:id="396" w:name="_Toc163492942"/>
    </w:p>
    <w:p w14:paraId="5A82B13E">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zh-CN" w:eastAsia="zh-CN"/>
        </w:rPr>
      </w:pPr>
    </w:p>
    <w:p w14:paraId="64B75735">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br w:type="page"/>
      </w:r>
    </w:p>
    <w:p w14:paraId="1F599745">
      <w:pPr>
        <w:pStyle w:val="3"/>
        <w:pageBreakBefore w:val="0"/>
        <w:widowControl w:val="0"/>
        <w:numPr>
          <w:ilvl w:val="0"/>
          <w:numId w:val="0"/>
        </w:numPr>
        <w:kinsoku/>
        <w:overflowPunct/>
        <w:topLinePunct w:val="0"/>
        <w:autoSpaceDE/>
        <w:autoSpaceDN/>
        <w:bidi w:val="0"/>
        <w:adjustRightInd/>
        <w:snapToGrid/>
        <w:spacing w:before="0" w:after="0" w:line="360" w:lineRule="auto"/>
        <w:ind w:left="0" w:leftChars="0" w:firstLine="421" w:firstLineChars="131"/>
        <w:textAlignment w:val="auto"/>
        <w:rPr>
          <w:rFonts w:hint="eastAsia" w:ascii="仿宋" w:hAnsi="仿宋" w:eastAsia="仿宋" w:cs="仿宋"/>
          <w:sz w:val="32"/>
          <w:szCs w:val="32"/>
          <w:lang w:val="en-US" w:eastAsia="zh-CN"/>
        </w:rPr>
      </w:pPr>
      <w:bookmarkStart w:id="397" w:name="_Toc8959"/>
      <w:r>
        <w:rPr>
          <w:rFonts w:hint="eastAsia" w:ascii="仿宋" w:hAnsi="仿宋" w:eastAsia="仿宋" w:cs="仿宋"/>
          <w:sz w:val="32"/>
          <w:szCs w:val="32"/>
          <w:lang w:val="en-US" w:eastAsia="zh-CN"/>
        </w:rPr>
        <w:t>5.投标人认为需要提供的其他资料</w:t>
      </w:r>
      <w:bookmarkEnd w:id="396"/>
      <w:bookmarkEnd w:id="397"/>
    </w:p>
    <w:p w14:paraId="11393853">
      <w:pPr>
        <w:pStyle w:val="24"/>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1.招标文件要求供应商须提交的其它资料；</w:t>
      </w:r>
    </w:p>
    <w:p w14:paraId="71BE5C96">
      <w:pPr>
        <w:pStyle w:val="24"/>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2.投标人认为需加以说明的其它内容。</w:t>
      </w:r>
    </w:p>
    <w:p w14:paraId="5E387378">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lang w:val="en-US" w:eastAsia="zh-CN"/>
        </w:rPr>
      </w:pPr>
    </w:p>
    <w:p w14:paraId="6701CECB">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lang w:val="en-US" w:eastAsia="zh-CN"/>
        </w:rPr>
      </w:pPr>
    </w:p>
    <w:p w14:paraId="236126EB">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lang w:val="en-US" w:eastAsia="zh-CN"/>
        </w:rPr>
      </w:pPr>
    </w:p>
    <w:p w14:paraId="580A453A">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lang w:val="en-US" w:eastAsia="zh-CN"/>
        </w:rPr>
      </w:pPr>
    </w:p>
    <w:p w14:paraId="16F5D6BF">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lang w:val="en-US" w:eastAsia="zh-CN"/>
        </w:rPr>
      </w:pPr>
    </w:p>
    <w:p w14:paraId="7CD5DAE6">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lang w:val="en-US" w:eastAsia="zh-CN"/>
        </w:rPr>
      </w:pPr>
    </w:p>
    <w:p w14:paraId="7A4D405A">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lang w:val="en-US" w:eastAsia="zh-CN"/>
        </w:rPr>
      </w:pPr>
    </w:p>
    <w:p w14:paraId="6D329C97">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lang w:val="en-US" w:eastAsia="zh-CN"/>
        </w:rPr>
      </w:pPr>
    </w:p>
    <w:p w14:paraId="4A34A5DD">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lang w:val="en-US" w:eastAsia="zh-CN"/>
        </w:rPr>
      </w:pPr>
    </w:p>
    <w:p w14:paraId="3319DC57">
      <w:pPr>
        <w:pStyle w:val="24"/>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color w:val="000000"/>
          <w:sz w:val="24"/>
          <w:lang w:val="en-US" w:eastAsia="zh-CN"/>
        </w:rPr>
      </w:pPr>
    </w:p>
    <w:sectPr>
      <w:pgSz w:w="11906" w:h="16838"/>
      <w:pgMar w:top="1440" w:right="1800" w:bottom="1440" w:left="1800" w:header="851" w:footer="850" w:gutter="0"/>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
    <w:altName w:val="Times New Roman"/>
    <w:panose1 w:val="00000000000000000000"/>
    <w:charset w:val="00"/>
    <w:family w:val="roman"/>
    <w:pitch w:val="default"/>
    <w:sig w:usb0="00000000" w:usb1="00000000" w:usb2="00000000" w:usb3="00000000" w:csb0="00000001" w:csb1="00000000"/>
  </w:font>
  <w:font w:name="StarSymbol">
    <w:altName w:val="Segoe UI Symbol"/>
    <w:panose1 w:val="00000000000000000000"/>
    <w:charset w:val="02"/>
    <w:family w:val="auto"/>
    <w:pitch w:val="default"/>
    <w:sig w:usb0="00000000" w:usb1="00000000" w:usb2="00000000"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AR PL ShanHeiSun Uni">
    <w:altName w:val="Arial"/>
    <w:panose1 w:val="00000000000000000000"/>
    <w:charset w:val="00"/>
    <w:family w:val="swiss"/>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华文楷体">
    <w:panose1 w:val="02010600040101010101"/>
    <w:charset w:val="86"/>
    <w:family w:val="auto"/>
    <w:pitch w:val="default"/>
    <w:sig w:usb0="00000287" w:usb1="080F0000" w:usb2="00000000" w:usb3="00000000" w:csb0="0004009F" w:csb1="DFD70000"/>
  </w:font>
  <w:font w:name="Adobe 宋体 Std L">
    <w:altName w:val="宋体"/>
    <w:panose1 w:val="00000000000000000000"/>
    <w:charset w:val="86"/>
    <w:family w:val="roman"/>
    <w:pitch w:val="default"/>
    <w:sig w:usb0="00000000" w:usb1="00000000" w:usb2="00000016" w:usb3="00000000" w:csb0="00060007"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6D649">
    <w:pPr>
      <w:pStyle w:val="29"/>
      <w:pBdr>
        <w:top w:val="single" w:color="auto" w:sz="4" w:space="1"/>
      </w:pBdr>
      <w:jc w:val="both"/>
      <w:rPr>
        <w:spacing w:val="10"/>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70DD3">
    <w:pPr>
      <w:pStyle w:val="29"/>
      <w:pBdr>
        <w:top w:val="single" w:color="auto" w:sz="4" w:space="1"/>
      </w:pBdr>
      <w:jc w:val="both"/>
      <w:rPr>
        <w:spacing w:val="10"/>
        <w:szCs w:val="21"/>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892175" cy="147955"/>
              <wp:effectExtent l="0" t="0" r="0" b="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92175" cy="147955"/>
                      </a:xfrm>
                      <a:prstGeom prst="rect">
                        <a:avLst/>
                      </a:prstGeom>
                      <a:noFill/>
                      <a:ln>
                        <a:noFill/>
                      </a:ln>
                    </wps:spPr>
                    <wps:txbx>
                      <w:txbxContent>
                        <w:p w14:paraId="67BE7298">
                          <w:pPr>
                            <w:pStyle w:val="2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t xml:space="preserve"> 页 共</w:t>
                          </w:r>
                          <w:r>
                            <w:rPr>
                              <w:rFonts w:hint="eastAsia" w:ascii="仿宋" w:hAnsi="仿宋" w:eastAsia="仿宋" w:cs="仿宋"/>
                              <w:lang w:val="en-US" w:eastAsia="zh-CN"/>
                            </w:rPr>
                            <w:t xml:space="preserve">87 </w:t>
                          </w:r>
                          <w:r>
                            <w:rPr>
                              <w:rFonts w:hint="eastAsia" w:ascii="仿宋" w:hAnsi="仿宋" w:eastAsia="仿宋" w:cs="仿宋"/>
                            </w:rPr>
                            <w:t>页</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70.25pt;mso-position-horizontal:center;mso-position-horizontal-relative:margin;mso-wrap-style:none;z-index:251661312;mso-width-relative:page;mso-height-relative:page;" filled="f" stroked="f" coordsize="21600,21600" o:gfxdata="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ig80NIAAAAEAQAADwAAAAAAAAABACAAAAAiAAAAZHJz&#10;L2Rvd25yZXYueG1sUEsBAhQAFAAAAAgAh07iQOxsOQwKAgAAAgQAAA4AAAAAAAAAAQAgAAAAIQEA&#10;AGRycy9lMm9Eb2MueG1sUEsFBgAAAAAGAAYAWQEAAJ0FAAAAAA==&#10;">
              <v:fill on="f" focussize="0,0"/>
              <v:stroke on="f"/>
              <v:imagedata o:title=""/>
              <o:lock v:ext="edit" aspectratio="f"/>
              <v:textbox inset="0mm,0mm,0mm,0mm" style="mso-fit-shape-to-text:t;">
                <w:txbxContent>
                  <w:p w14:paraId="67BE7298">
                    <w:pPr>
                      <w:pStyle w:val="2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t xml:space="preserve"> 页 共</w:t>
                    </w:r>
                    <w:r>
                      <w:rPr>
                        <w:rFonts w:hint="eastAsia" w:ascii="仿宋" w:hAnsi="仿宋" w:eastAsia="仿宋" w:cs="仿宋"/>
                        <w:lang w:val="en-US" w:eastAsia="zh-CN"/>
                      </w:rPr>
                      <w:t xml:space="preserve">87 </w:t>
                    </w:r>
                    <w:r>
                      <w:rPr>
                        <w:rFonts w:hint="eastAsia" w:ascii="仿宋" w:hAnsi="仿宋" w:eastAsia="仿宋" w:cs="仿宋"/>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3F544">
    <w:pPr>
      <w:pStyle w:val="2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892175" cy="147955"/>
              <wp:effectExtent l="0" t="0" r="0" b="0"/>
              <wp:wrapNone/>
              <wp:docPr id="3"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92175" cy="147955"/>
                      </a:xfrm>
                      <a:prstGeom prst="rect">
                        <a:avLst/>
                      </a:prstGeom>
                      <a:noFill/>
                      <a:ln>
                        <a:noFill/>
                      </a:ln>
                    </wps:spPr>
                    <wps:txbx>
                      <w:txbxContent>
                        <w:p w14:paraId="5B4159E4">
                          <w:pPr>
                            <w:pStyle w:val="2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lang w:val="en-US" w:eastAsia="zh-CN"/>
                            </w:rPr>
                            <w:t>73</w:t>
                          </w:r>
                          <w:r>
                            <w:rPr>
                              <w:rFonts w:hint="eastAsia" w:ascii="仿宋" w:hAnsi="仿宋" w:eastAsia="仿宋" w:cs="仿宋"/>
                            </w:rPr>
                            <w:t>页</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70.25pt;mso-position-horizontal:center;mso-position-horizontal-relative:margin;mso-wrap-style:none;z-index:251662336;mso-width-relative:page;mso-height-relative:page;" filled="f" stroked="f" coordsize="21600,21600" o:gfxdata="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KDzQ0gAAAAQBAAAPAAAAAAAAAAEAIAAAACIAAABkcnMv&#10;ZG93bnJldi54bWxQSwECFAAUAAAACACHTuJAwh+U+gkCAAACBAAADgAAAAAAAAABACAAAAAhAQAA&#10;ZHJzL2Uyb0RvYy54bWxQSwUGAAAAAAYABgBZAQAAnAUAAAAA&#10;">
              <v:fill on="f" focussize="0,0"/>
              <v:stroke on="f"/>
              <v:imagedata o:title=""/>
              <o:lock v:ext="edit" aspectratio="f"/>
              <v:textbox inset="0mm,0mm,0mm,0mm" style="mso-fit-shape-to-text:t;">
                <w:txbxContent>
                  <w:p w14:paraId="5B4159E4">
                    <w:pPr>
                      <w:pStyle w:val="2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lang w:val="en-US" w:eastAsia="zh-CN"/>
                      </w:rPr>
                      <w:t>73</w:t>
                    </w:r>
                    <w:r>
                      <w:rPr>
                        <w:rFonts w:hint="eastAsia" w:ascii="仿宋" w:hAnsi="仿宋" w:eastAsia="仿宋" w:cs="仿宋"/>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33BED">
    <w:pPr>
      <w:pStyle w:val="29"/>
      <w:pBdr>
        <w:top w:val="single" w:color="auto" w:sz="4" w:space="1"/>
      </w:pBdr>
      <w:jc w:val="both"/>
      <w:rPr>
        <w:spacing w:val="10"/>
        <w:szCs w:val="21"/>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892175" cy="147955"/>
              <wp:effectExtent l="0" t="0" r="0" b="0"/>
              <wp:wrapNone/>
              <wp:docPr id="4"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92175" cy="147955"/>
                      </a:xfrm>
                      <a:prstGeom prst="rect">
                        <a:avLst/>
                      </a:prstGeom>
                      <a:noFill/>
                      <a:ln>
                        <a:noFill/>
                      </a:ln>
                    </wps:spPr>
                    <wps:txbx>
                      <w:txbxContent>
                        <w:p w14:paraId="7E3C9BAC">
                          <w:pPr>
                            <w:pStyle w:val="2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lang w:val="en-US" w:eastAsia="zh-CN"/>
                            </w:rPr>
                            <w:t xml:space="preserve">87 </w:t>
                          </w:r>
                          <w:r>
                            <w:rPr>
                              <w:rFonts w:hint="eastAsia" w:ascii="仿宋" w:hAnsi="仿宋" w:eastAsia="仿宋" w:cs="仿宋"/>
                            </w:rPr>
                            <w:t>页</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70.25pt;mso-position-horizontal:center;mso-position-horizontal-relative:margin;mso-wrap-style:none;z-index:251663360;mso-width-relative:page;mso-height-relative:page;" filled="f" stroked="f" coordsize="21600,21600" o:gfxdata="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ig80NIAAAAEAQAADwAAAAAAAAABACAAAAAiAAAAZHJz&#10;L2Rvd25yZXYueG1sUEsBAhQAFAAAAAgAh07iQMtMRVYKAgAAAgQAAA4AAAAAAAAAAQAgAAAAIQEA&#10;AGRycy9lMm9Eb2MueG1sUEsFBgAAAAAGAAYAWQEAAJ0FAAAAAA==&#10;">
              <v:fill on="f" focussize="0,0"/>
              <v:stroke on="f"/>
              <v:imagedata o:title=""/>
              <o:lock v:ext="edit" aspectratio="f"/>
              <v:textbox inset="0mm,0mm,0mm,0mm" style="mso-fit-shape-to-text:t;">
                <w:txbxContent>
                  <w:p w14:paraId="7E3C9BAC">
                    <w:pPr>
                      <w:pStyle w:val="2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lang w:val="en-US" w:eastAsia="zh-CN"/>
                      </w:rPr>
                      <w:t xml:space="preserve">87 </w:t>
                    </w:r>
                    <w:r>
                      <w:rPr>
                        <w:rFonts w:hint="eastAsia" w:ascii="仿宋" w:hAnsi="仿宋" w:eastAsia="仿宋" w:cs="仿宋"/>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CC9BD">
    <w:pPr>
      <w:pStyle w:val="2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892175" cy="147955"/>
              <wp:effectExtent l="0" t="0" r="0" b="0"/>
              <wp:wrapNone/>
              <wp:docPr id="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92175" cy="147955"/>
                      </a:xfrm>
                      <a:prstGeom prst="rect">
                        <a:avLst/>
                      </a:prstGeom>
                      <a:noFill/>
                      <a:ln>
                        <a:noFill/>
                      </a:ln>
                    </wps:spPr>
                    <wps:txbx>
                      <w:txbxContent>
                        <w:p w14:paraId="7F8432A4">
                          <w:pPr>
                            <w:pStyle w:val="2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lang w:val="en-US" w:eastAsia="zh-CN"/>
                            </w:rPr>
                            <w:t>74</w:t>
                          </w:r>
                          <w:r>
                            <w:rPr>
                              <w:rFonts w:hint="eastAsia" w:ascii="仿宋" w:hAnsi="仿宋" w:eastAsia="仿宋" w:cs="仿宋"/>
                            </w:rPr>
                            <w:t>页</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70.25pt;mso-position-horizontal:center;mso-position-horizontal-relative:margin;mso-wrap-style:none;z-index:251664384;mso-width-relative:page;mso-height-relative:page;" filled="f" stroked="f" coordsize="21600,21600" o:gfxdata="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KDzQ0gAAAAQBAAAPAAAAAAAAAAEAIAAAACIAAABkcnMv&#10;ZG93bnJldi54bWxQSwECFAAUAAAACACHTuJA5T/ooAkCAAACBAAADgAAAAAAAAABACAAAAAhAQAA&#10;ZHJzL2Uyb0RvYy54bWxQSwUGAAAAAAYABgBZAQAAnAUAAAAA&#10;">
              <v:fill on="f" focussize="0,0"/>
              <v:stroke on="f"/>
              <v:imagedata o:title=""/>
              <o:lock v:ext="edit" aspectratio="f"/>
              <v:textbox inset="0mm,0mm,0mm,0mm" style="mso-fit-shape-to-text:t;">
                <w:txbxContent>
                  <w:p w14:paraId="7F8432A4">
                    <w:pPr>
                      <w:pStyle w:val="2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lang w:val="en-US" w:eastAsia="zh-CN"/>
                      </w:rPr>
                      <w:t>74</w:t>
                    </w:r>
                    <w:r>
                      <w:rPr>
                        <w:rFonts w:hint="eastAsia" w:ascii="仿宋" w:hAnsi="仿宋" w:eastAsia="仿宋" w:cs="仿宋"/>
                      </w:rP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455B7">
    <w:pPr>
      <w:pStyle w:val="29"/>
      <w:pBdr>
        <w:top w:val="single" w:color="auto" w:sz="4" w:space="1"/>
      </w:pBdr>
      <w:jc w:val="both"/>
      <w:rPr>
        <w:rFonts w:hint="eastAsia"/>
        <w:spacing w:val="10"/>
        <w:szCs w:val="21"/>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792F9A">
                          <w:pPr>
                            <w:pStyle w:val="2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rPr>
                            <w:t xml:space="preserve"> 页 共</w:t>
                          </w:r>
                          <w:r>
                            <w:rPr>
                              <w:rFonts w:hint="eastAsia" w:ascii="仿宋" w:hAnsi="仿宋" w:eastAsia="仿宋" w:cs="仿宋"/>
                              <w:lang w:val="en-US" w:eastAsia="zh-CN"/>
                            </w:rPr>
                            <w:t xml:space="preserve">74 </w:t>
                          </w:r>
                          <w:r>
                            <w:rPr>
                              <w:rFonts w:hint="eastAsia" w:ascii="仿宋" w:hAnsi="仿宋" w:eastAsia="仿宋" w:cs="仿宋"/>
                            </w:rPr>
                            <w:t>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75792F9A">
                    <w:pPr>
                      <w:pStyle w:val="2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rPr>
                      <w:t xml:space="preserve"> 页 共</w:t>
                    </w:r>
                    <w:r>
                      <w:rPr>
                        <w:rFonts w:hint="eastAsia" w:ascii="仿宋" w:hAnsi="仿宋" w:eastAsia="仿宋" w:cs="仿宋"/>
                        <w:lang w:val="en-US" w:eastAsia="zh-CN"/>
                      </w:rPr>
                      <w:t xml:space="preserve">74 </w:t>
                    </w:r>
                    <w:r>
                      <w:rPr>
                        <w:rFonts w:hint="eastAsia" w:ascii="仿宋" w:hAnsi="仿宋" w:eastAsia="仿宋" w:cs="仿宋"/>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CA449">
    <w:pPr>
      <w:pStyle w:val="30"/>
      <w:jc w:val="right"/>
      <w:rPr>
        <w:rFonts w:hint="eastAsia" w:ascii="仿宋" w:hAnsi="仿宋" w:eastAsia="仿宋" w:cs="仿宋"/>
        <w:lang w:val="en-US" w:eastAsia="zh-CN"/>
      </w:rPr>
    </w:pPr>
    <w:r>
      <w:rPr>
        <w:rFonts w:hint="eastAsia" w:ascii="仿宋" w:hAnsi="仿宋" w:eastAsia="仿宋" w:cs="仿宋"/>
        <w:lang w:val="en-US" w:eastAsia="zh-CN"/>
      </w:rPr>
      <w:t>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A8B53">
    <w:pPr>
      <w:pStyle w:val="30"/>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F33F9">
    <w:pPr>
      <w:pStyle w:val="30"/>
      <w:jc w:val="right"/>
      <w:rPr>
        <w:rFonts w:hint="eastAsia" w:ascii="仿宋" w:hAnsi="仿宋" w:eastAsia="仿宋" w:cs="仿宋"/>
        <w:lang w:val="en-US" w:eastAsia="zh-CN"/>
      </w:rPr>
    </w:pPr>
    <w:r>
      <w:rPr>
        <w:rFonts w:hint="eastAsia" w:ascii="仿宋" w:hAnsi="仿宋" w:eastAsia="仿宋" w:cs="仿宋"/>
        <w:lang w:val="en-US" w:eastAsia="zh-CN"/>
      </w:rPr>
      <w:t>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62069">
    <w:pPr>
      <w:pStyle w:val="30"/>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2A18F">
    <w:pPr>
      <w:pStyle w:val="30"/>
      <w:jc w:val="right"/>
      <w:rPr>
        <w:rFonts w:hint="eastAsia" w:ascii="仿宋" w:hAnsi="仿宋" w:eastAsia="仿宋" w:cs="仿宋"/>
        <w:lang w:val="en-US" w:eastAsia="zh-CN"/>
      </w:rPr>
    </w:pPr>
    <w:r>
      <w:rPr>
        <w:rFonts w:hint="eastAsia" w:ascii="仿宋" w:hAnsi="仿宋" w:eastAsia="仿宋" w:cs="仿宋"/>
        <w:lang w:val="en-US" w:eastAsia="zh-CN"/>
      </w:rPr>
      <w:t>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74ED4">
    <w:pPr>
      <w:pStyle w:val="30"/>
      <w:jc w:val="right"/>
      <w:rPr>
        <w:rFonts w:hint="eastAsia"/>
      </w:rPr>
    </w:pPr>
    <w:r>
      <w:rPr>
        <w:rFonts w:hint="eastAsia" w:ascii="仿宋" w:hAnsi="仿宋" w:eastAsia="仿宋" w:cs="仿宋"/>
        <w:lang w:val="en-US" w:eastAsia="zh-CN"/>
      </w:rPr>
      <w:t>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AE14BF"/>
    <w:multiLevelType w:val="multilevel"/>
    <w:tmpl w:val="F3AE14BF"/>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1D4469D"/>
    <w:multiLevelType w:val="multilevel"/>
    <w:tmpl w:val="01D4469D"/>
    <w:lvl w:ilvl="0" w:tentative="0">
      <w:start w:val="1"/>
      <w:numFmt w:val="decimal"/>
      <w:lvlText w:val="%1."/>
      <w:lvlJc w:val="left"/>
      <w:pPr>
        <w:ind w:left="420" w:hanging="420"/>
      </w:pPr>
      <w:rPr>
        <w:rFonts w:hint="default" w:ascii="仿宋" w:hAnsi="仿宋" w:eastAsia="仿宋" w:cs="仿宋"/>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C2D483C"/>
    <w:multiLevelType w:val="multilevel"/>
    <w:tmpl w:val="0C2D483C"/>
    <w:lvl w:ilvl="0" w:tentative="0">
      <w:start w:val="1"/>
      <w:numFmt w:val="decimal"/>
      <w:lvlText w:val="%1."/>
      <w:lvlJc w:val="left"/>
      <w:pPr>
        <w:tabs>
          <w:tab w:val="left" w:pos="720"/>
        </w:tabs>
        <w:ind w:left="720" w:hanging="360"/>
      </w:pPr>
      <w:rPr>
        <w:rFonts w:hint="eastAsia"/>
      </w:rPr>
    </w:lvl>
    <w:lvl w:ilvl="1" w:tentative="0">
      <w:start w:val="1"/>
      <w:numFmt w:val="decimal"/>
      <w:lvlText w:val="%2."/>
      <w:lvlJc w:val="left"/>
      <w:pPr>
        <w:tabs>
          <w:tab w:val="left" w:pos="1140"/>
        </w:tabs>
        <w:ind w:left="1140" w:hanging="360"/>
      </w:pPr>
      <w:rPr>
        <w:rFonts w:hint="eastAsia"/>
      </w:rPr>
    </w:lvl>
    <w:lvl w:ilvl="2" w:tentative="0">
      <w:start w:val="1"/>
      <w:numFmt w:val="japaneseCounting"/>
      <w:lvlText w:val="%3、"/>
      <w:lvlJc w:val="left"/>
      <w:pPr>
        <w:tabs>
          <w:tab w:val="left" w:pos="1560"/>
        </w:tabs>
        <w:ind w:left="1560" w:hanging="360"/>
      </w:pPr>
      <w:rPr>
        <w:rFonts w:hint="eastAsia"/>
      </w:rPr>
    </w:lvl>
    <w:lvl w:ilvl="3" w:tentative="0">
      <w:start w:val="1"/>
      <w:numFmt w:val="decimal"/>
      <w:lvlText w:val="%4."/>
      <w:lvlJc w:val="left"/>
      <w:pPr>
        <w:tabs>
          <w:tab w:val="left" w:pos="2040"/>
        </w:tabs>
        <w:ind w:left="2040" w:hanging="420"/>
      </w:pPr>
    </w:lvl>
    <w:lvl w:ilvl="4" w:tentative="0">
      <w:start w:val="1"/>
      <w:numFmt w:val="decimal"/>
      <w:lvlText w:val="（%5）"/>
      <w:lvlJc w:val="left"/>
      <w:pPr>
        <w:tabs>
          <w:tab w:val="left" w:pos="2760"/>
        </w:tabs>
        <w:ind w:left="2760" w:hanging="720"/>
      </w:pPr>
      <w:rPr>
        <w:rFonts w:hint="eastAsia"/>
      </w:r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3">
    <w:nsid w:val="16FD834B"/>
    <w:multiLevelType w:val="multilevel"/>
    <w:tmpl w:val="16FD834B"/>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E11C3C"/>
    <w:multiLevelType w:val="multilevel"/>
    <w:tmpl w:val="18E11C3C"/>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A182489"/>
    <w:multiLevelType w:val="multilevel"/>
    <w:tmpl w:val="2A182489"/>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5107505"/>
    <w:multiLevelType w:val="multilevel"/>
    <w:tmpl w:val="35107505"/>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69709A3"/>
    <w:multiLevelType w:val="multilevel"/>
    <w:tmpl w:val="369709A3"/>
    <w:lvl w:ilvl="0" w:tentative="0">
      <w:start w:val="1"/>
      <w:numFmt w:val="decimal"/>
      <w:pStyle w:val="293"/>
      <w:lvlText w:val="%1."/>
      <w:lvlJc w:val="left"/>
      <w:pPr>
        <w:tabs>
          <w:tab w:val="left" w:pos="420"/>
        </w:tabs>
        <w:ind w:left="430" w:hanging="430"/>
      </w:pPr>
      <w:rPr>
        <w:rFonts w:hint="eastAsia" w:cs="Times New Roman"/>
      </w:rPr>
    </w:lvl>
    <w:lvl w:ilvl="1" w:tentative="0">
      <w:start w:val="1"/>
      <w:numFmt w:val="decimal"/>
      <w:lvlText w:val="%1.%2"/>
      <w:lvlJc w:val="left"/>
      <w:pPr>
        <w:tabs>
          <w:tab w:val="left" w:pos="700"/>
        </w:tabs>
        <w:ind w:left="700" w:hanging="700"/>
      </w:pPr>
      <w:rPr>
        <w:rFonts w:hint="eastAsia" w:cs="Times New Roman"/>
      </w:rPr>
    </w:lvl>
    <w:lvl w:ilvl="2" w:tentative="0">
      <w:start w:val="1"/>
      <w:numFmt w:val="decimal"/>
      <w:pStyle w:val="259"/>
      <w:lvlText w:val="%1.%2.%3"/>
      <w:lvlJc w:val="left"/>
      <w:pPr>
        <w:tabs>
          <w:tab w:val="left" w:pos="1000"/>
        </w:tabs>
        <w:ind w:left="1000" w:hanging="1000"/>
      </w:pPr>
      <w:rPr>
        <w:rFonts w:hint="eastAsia" w:cs="Times New Roman"/>
      </w:rPr>
    </w:lvl>
    <w:lvl w:ilvl="3" w:tentative="0">
      <w:start w:val="1"/>
      <w:numFmt w:val="decimal"/>
      <w:lvlText w:val="%1.%2.%3.%4"/>
      <w:lvlJc w:val="left"/>
      <w:pPr>
        <w:tabs>
          <w:tab w:val="left" w:pos="0"/>
        </w:tabs>
        <w:ind w:left="1984" w:hanging="1984"/>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9">
    <w:nsid w:val="376F4EEB"/>
    <w:multiLevelType w:val="multilevel"/>
    <w:tmpl w:val="376F4EEB"/>
    <w:lvl w:ilvl="0" w:tentative="0">
      <w:start w:val="3"/>
      <w:numFmt w:val="decimal"/>
      <w:lvlText w:val="%1"/>
      <w:lvlJc w:val="left"/>
      <w:pPr>
        <w:ind w:left="360" w:hanging="360"/>
      </w:pPr>
      <w:rPr>
        <w:rFonts w:hint="default" w:cs="Times New Roman"/>
      </w:rPr>
    </w:lvl>
    <w:lvl w:ilvl="1" w:tentative="0">
      <w:start w:val="1"/>
      <w:numFmt w:val="decimal"/>
      <w:pStyle w:val="248"/>
      <w:lvlText w:val="%1.%2"/>
      <w:lvlJc w:val="left"/>
      <w:pPr>
        <w:ind w:left="644" w:hanging="360"/>
      </w:pPr>
      <w:rPr>
        <w:rFonts w:hint="default" w:ascii="Times New Roman" w:hAnsi="Times New Roman" w:cs="Times New Roman"/>
        <w:b w:val="0"/>
      </w:rPr>
    </w:lvl>
    <w:lvl w:ilvl="2" w:tentative="0">
      <w:start w:val="1"/>
      <w:numFmt w:val="decimal"/>
      <w:pStyle w:val="148"/>
      <w:lvlText w:val="%1.%2.%3"/>
      <w:lvlJc w:val="left"/>
      <w:pPr>
        <w:ind w:left="720" w:hanging="720"/>
      </w:pPr>
      <w:rPr>
        <w:rFonts w:hint="default" w:cs="Times New Roman"/>
        <w:b w:val="0"/>
      </w:rPr>
    </w:lvl>
    <w:lvl w:ilvl="3" w:tentative="0">
      <w:start w:val="1"/>
      <w:numFmt w:val="decimal"/>
      <w:lvlText w:val="%1.%2.%3.%4"/>
      <w:lvlJc w:val="left"/>
      <w:pPr>
        <w:ind w:left="720" w:hanging="720"/>
      </w:pPr>
      <w:rPr>
        <w:rFonts w:hint="default" w:cs="Times New Roman"/>
      </w:rPr>
    </w:lvl>
    <w:lvl w:ilvl="4" w:tentative="0">
      <w:start w:val="1"/>
      <w:numFmt w:val="decimal"/>
      <w:lvlText w:val="%1.%2.%3.%4.%5"/>
      <w:lvlJc w:val="left"/>
      <w:pPr>
        <w:ind w:left="1080" w:hanging="1080"/>
      </w:pPr>
      <w:rPr>
        <w:rFonts w:hint="default" w:cs="Times New Roman"/>
      </w:rPr>
    </w:lvl>
    <w:lvl w:ilvl="5" w:tentative="0">
      <w:start w:val="1"/>
      <w:numFmt w:val="decimal"/>
      <w:lvlText w:val="%1.%2.%3.%4.%5.%6"/>
      <w:lvlJc w:val="left"/>
      <w:pPr>
        <w:ind w:left="1080" w:hanging="1080"/>
      </w:pPr>
      <w:rPr>
        <w:rFonts w:hint="default" w:cs="Times New Roman"/>
      </w:rPr>
    </w:lvl>
    <w:lvl w:ilvl="6" w:tentative="0">
      <w:start w:val="1"/>
      <w:numFmt w:val="decimal"/>
      <w:lvlText w:val="%1.%2.%3.%4.%5.%6.%7"/>
      <w:lvlJc w:val="left"/>
      <w:pPr>
        <w:ind w:left="1080" w:hanging="1080"/>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440" w:hanging="1440"/>
      </w:pPr>
      <w:rPr>
        <w:rFonts w:hint="default" w:cs="Times New Roman"/>
      </w:rPr>
    </w:lvl>
  </w:abstractNum>
  <w:abstractNum w:abstractNumId="10">
    <w:nsid w:val="389F6B18"/>
    <w:multiLevelType w:val="multilevel"/>
    <w:tmpl w:val="389F6B18"/>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2337"/>
        </w:tabs>
        <w:ind w:left="2337" w:hanging="657"/>
      </w:pPr>
      <w:rPr>
        <w:rFonts w:hint="eastAsia" w:cs="Times New Roman"/>
      </w:rPr>
    </w:lvl>
    <w:lvl w:ilvl="5" w:tentative="0">
      <w:start w:val="1"/>
      <w:numFmt w:val="decimal"/>
      <w:lvlText w:val="%6、"/>
      <w:lvlJc w:val="left"/>
      <w:pPr>
        <w:tabs>
          <w:tab w:val="left" w:pos="2895"/>
        </w:tabs>
        <w:ind w:left="2895" w:hanging="795"/>
      </w:pPr>
      <w:rPr>
        <w:rFonts w:hint="default" w:cs="Times New Roman"/>
      </w:rPr>
    </w:lvl>
    <w:lvl w:ilvl="6" w:tentative="0">
      <w:start w:val="1"/>
      <w:numFmt w:val="upperLetter"/>
      <w:lvlText w:val="%7."/>
      <w:lvlJc w:val="left"/>
      <w:pPr>
        <w:ind w:left="3240" w:hanging="720"/>
      </w:pPr>
      <w:rPr>
        <w:rFonts w:hint="default" w:cs="Times New Roman"/>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3A0105B5"/>
    <w:multiLevelType w:val="multilevel"/>
    <w:tmpl w:val="3A0105B5"/>
    <w:lvl w:ilvl="0" w:tentative="0">
      <w:start w:val="1"/>
      <w:numFmt w:val="decimal"/>
      <w:lvlText w:val="%1."/>
      <w:lvlJc w:val="left"/>
      <w:pPr>
        <w:tabs>
          <w:tab w:val="left" w:pos="720"/>
        </w:tabs>
        <w:ind w:left="720" w:hanging="360"/>
      </w:pPr>
      <w:rPr>
        <w:rFonts w:hint="eastAsia"/>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2">
    <w:nsid w:val="530F2C8E"/>
    <w:multiLevelType w:val="multilevel"/>
    <w:tmpl w:val="530F2C8E"/>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A71EA06"/>
    <w:multiLevelType w:val="singleLevel"/>
    <w:tmpl w:val="5A71EA06"/>
    <w:lvl w:ilvl="0" w:tentative="0">
      <w:start w:val="1"/>
      <w:numFmt w:val="decimal"/>
      <w:suff w:val="nothing"/>
      <w:lvlText w:val="%1"/>
      <w:lvlJc w:val="left"/>
      <w:pPr>
        <w:ind w:left="425" w:leftChars="0" w:hanging="425" w:firstLineChars="0"/>
      </w:pPr>
      <w:rPr>
        <w:rFonts w:hint="default" w:ascii="仿宋" w:hAnsi="仿宋" w:eastAsia="仿宋" w:cs="仿宋"/>
        <w:sz w:val="24"/>
        <w:szCs w:val="24"/>
      </w:rPr>
    </w:lvl>
  </w:abstractNum>
  <w:abstractNum w:abstractNumId="14">
    <w:nsid w:val="71F52049"/>
    <w:multiLevelType w:val="multilevel"/>
    <w:tmpl w:val="71F52049"/>
    <w:lvl w:ilvl="0" w:tentative="0">
      <w:start w:val="1"/>
      <w:numFmt w:val="japaneseCounting"/>
      <w:pStyle w:val="268"/>
      <w:lvlText w:val="第%1章"/>
      <w:lvlJc w:val="left"/>
      <w:pPr>
        <w:tabs>
          <w:tab w:val="left" w:pos="0"/>
        </w:tabs>
      </w:pPr>
      <w:rPr>
        <w:rFonts w:hint="eastAsia" w:ascii="黑体" w:hAnsi="黑体" w:eastAsia="黑体" w:cs="黑体"/>
        <w:b/>
        <w:i w:val="0"/>
        <w:sz w:val="32"/>
        <w:szCs w:val="32"/>
      </w:rPr>
    </w:lvl>
    <w:lvl w:ilvl="1" w:tentative="0">
      <w:start w:val="1"/>
      <w:numFmt w:val="chineseCountingThousand"/>
      <w:lvlText w:val="%2、"/>
      <w:lvlJc w:val="left"/>
      <w:pPr>
        <w:tabs>
          <w:tab w:val="left" w:pos="1077"/>
        </w:tabs>
        <w:ind w:left="1077" w:hanging="657"/>
      </w:pPr>
      <w:rPr>
        <w:rFonts w:hint="eastAsia" w:ascii="宋体" w:eastAsia="宋体" w:cs="Times New Roman"/>
        <w:b/>
        <w:i w:val="0"/>
        <w:sz w:val="30"/>
        <w:szCs w:val="30"/>
      </w:rPr>
    </w:lvl>
    <w:lvl w:ilvl="2" w:tentative="0">
      <w:start w:val="1"/>
      <w:numFmt w:val="decimal"/>
      <w:lvlText w:val="（%3）"/>
      <w:lvlJc w:val="left"/>
      <w:pPr>
        <w:tabs>
          <w:tab w:val="left" w:pos="1560"/>
        </w:tabs>
        <w:ind w:left="1560" w:hanging="720"/>
      </w:pPr>
      <w:rPr>
        <w:rFonts w:hint="default" w:cs="Times New Roman"/>
      </w:rPr>
    </w:lvl>
    <w:lvl w:ilvl="3" w:tentative="0">
      <w:start w:val="1"/>
      <w:numFmt w:val="decimal"/>
      <w:lvlText w:val="%4."/>
      <w:lvlJc w:val="left"/>
      <w:pPr>
        <w:tabs>
          <w:tab w:val="left" w:pos="874"/>
        </w:tabs>
        <w:ind w:left="874" w:hanging="420"/>
      </w:pPr>
      <w:rPr>
        <w:rFonts w:hint="eastAsia" w:cs="Times New Roman"/>
        <w:b/>
        <w:i w:val="0"/>
        <w:sz w:val="32"/>
        <w:szCs w:val="32"/>
      </w:rPr>
    </w:lvl>
    <w:lvl w:ilvl="4" w:tentative="0">
      <w:start w:val="1"/>
      <w:numFmt w:val="decimal"/>
      <w:lvlText w:val="%5）"/>
      <w:lvlJc w:val="left"/>
      <w:pPr>
        <w:tabs>
          <w:tab w:val="left" w:pos="851"/>
        </w:tabs>
        <w:ind w:left="964" w:hanging="284"/>
      </w:pPr>
      <w:rPr>
        <w:rFonts w:hint="default" w:cs="Times New Roman"/>
        <w:b w:val="0"/>
        <w:i w:val="0"/>
        <w:sz w:val="24"/>
        <w:szCs w:val="24"/>
      </w:rPr>
    </w:lvl>
    <w:lvl w:ilvl="5" w:tentative="0">
      <w:start w:val="1"/>
      <w:numFmt w:val="lowerLetter"/>
      <w:lvlText w:val="%6、"/>
      <w:lvlJc w:val="left"/>
      <w:pPr>
        <w:tabs>
          <w:tab w:val="left" w:pos="2460"/>
        </w:tabs>
        <w:ind w:left="2460" w:hanging="360"/>
      </w:pPr>
      <w:rPr>
        <w:rFonts w:hint="default" w:ascii="宋体" w:eastAsia="宋体" w:cs="Times New Roman"/>
        <w:sz w:val="24"/>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5">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5B1A2F2"/>
    <w:multiLevelType w:val="multilevel"/>
    <w:tmpl w:val="75B1A2F2"/>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9"/>
  </w:num>
  <w:num w:numId="3">
    <w:abstractNumId w:val="8"/>
  </w:num>
  <w:num w:numId="4">
    <w:abstractNumId w:val="14"/>
  </w:num>
  <w:num w:numId="5">
    <w:abstractNumId w:val="1"/>
  </w:num>
  <w:num w:numId="6">
    <w:abstractNumId w:val="4"/>
  </w:num>
  <w:num w:numId="7">
    <w:abstractNumId w:val="7"/>
  </w:num>
  <w:num w:numId="8">
    <w:abstractNumId w:val="0"/>
  </w:num>
  <w:num w:numId="9">
    <w:abstractNumId w:val="12"/>
  </w:num>
  <w:num w:numId="10">
    <w:abstractNumId w:val="16"/>
  </w:num>
  <w:num w:numId="11">
    <w:abstractNumId w:val="13"/>
  </w:num>
  <w:num w:numId="12">
    <w:abstractNumId w:val="6"/>
  </w:num>
  <w:num w:numId="13">
    <w:abstractNumId w:val="3"/>
  </w:num>
  <w:num w:numId="14">
    <w:abstractNumId w:val="2"/>
  </w:num>
  <w:num w:numId="15">
    <w:abstractNumId w:val="11"/>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gutterAtTop/>
  <w:documentProtection w:enforcement="0"/>
  <w:defaultTabStop w:val="420"/>
  <w:drawingGridHorizontalSpacing w:val="210"/>
  <w:drawingGridVerticalSpacing w:val="15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yY2Y5Y2UxZjkwY2NiYzg1MTM4ZmQzOTFhYWJhY2IifQ=="/>
  </w:docVars>
  <w:rsids>
    <w:rsidRoot w:val="0085744B"/>
    <w:rsid w:val="0000052B"/>
    <w:rsid w:val="00000B24"/>
    <w:rsid w:val="00001133"/>
    <w:rsid w:val="00002AA9"/>
    <w:rsid w:val="00002B28"/>
    <w:rsid w:val="000038FF"/>
    <w:rsid w:val="00003E5C"/>
    <w:rsid w:val="0000421B"/>
    <w:rsid w:val="0000537D"/>
    <w:rsid w:val="0000610C"/>
    <w:rsid w:val="000117B3"/>
    <w:rsid w:val="00012802"/>
    <w:rsid w:val="00013CE5"/>
    <w:rsid w:val="000140D1"/>
    <w:rsid w:val="0001449C"/>
    <w:rsid w:val="000145D8"/>
    <w:rsid w:val="000148D0"/>
    <w:rsid w:val="000166F6"/>
    <w:rsid w:val="00016762"/>
    <w:rsid w:val="00016914"/>
    <w:rsid w:val="00016AD5"/>
    <w:rsid w:val="00016FD9"/>
    <w:rsid w:val="00017504"/>
    <w:rsid w:val="0002032E"/>
    <w:rsid w:val="00021136"/>
    <w:rsid w:val="00021EE6"/>
    <w:rsid w:val="0002213D"/>
    <w:rsid w:val="000227DC"/>
    <w:rsid w:val="00023929"/>
    <w:rsid w:val="00023E0B"/>
    <w:rsid w:val="000252C3"/>
    <w:rsid w:val="000272B7"/>
    <w:rsid w:val="0002761C"/>
    <w:rsid w:val="00027DD9"/>
    <w:rsid w:val="0003095C"/>
    <w:rsid w:val="0003140D"/>
    <w:rsid w:val="00032674"/>
    <w:rsid w:val="0003299F"/>
    <w:rsid w:val="000339B4"/>
    <w:rsid w:val="00034854"/>
    <w:rsid w:val="00034E84"/>
    <w:rsid w:val="00035DB7"/>
    <w:rsid w:val="00035FF9"/>
    <w:rsid w:val="000366BB"/>
    <w:rsid w:val="0003692E"/>
    <w:rsid w:val="00037BE3"/>
    <w:rsid w:val="000425F9"/>
    <w:rsid w:val="000435F0"/>
    <w:rsid w:val="00044E06"/>
    <w:rsid w:val="00045406"/>
    <w:rsid w:val="00045EAE"/>
    <w:rsid w:val="00046FF6"/>
    <w:rsid w:val="000501F6"/>
    <w:rsid w:val="0005089E"/>
    <w:rsid w:val="0005107E"/>
    <w:rsid w:val="00051402"/>
    <w:rsid w:val="00051972"/>
    <w:rsid w:val="00052024"/>
    <w:rsid w:val="0005336A"/>
    <w:rsid w:val="00053AE0"/>
    <w:rsid w:val="00053E81"/>
    <w:rsid w:val="00053F2F"/>
    <w:rsid w:val="000541C7"/>
    <w:rsid w:val="0005457B"/>
    <w:rsid w:val="00054AD3"/>
    <w:rsid w:val="00055F03"/>
    <w:rsid w:val="0005601C"/>
    <w:rsid w:val="00056188"/>
    <w:rsid w:val="00056DE6"/>
    <w:rsid w:val="00057B10"/>
    <w:rsid w:val="00057D28"/>
    <w:rsid w:val="00060142"/>
    <w:rsid w:val="000604DC"/>
    <w:rsid w:val="00060847"/>
    <w:rsid w:val="00060DBE"/>
    <w:rsid w:val="0006151A"/>
    <w:rsid w:val="000615BA"/>
    <w:rsid w:val="00061E8A"/>
    <w:rsid w:val="000655EA"/>
    <w:rsid w:val="000658EA"/>
    <w:rsid w:val="00065921"/>
    <w:rsid w:val="000661D4"/>
    <w:rsid w:val="000663D5"/>
    <w:rsid w:val="00067908"/>
    <w:rsid w:val="0007024F"/>
    <w:rsid w:val="00070528"/>
    <w:rsid w:val="00070AE3"/>
    <w:rsid w:val="00070C02"/>
    <w:rsid w:val="00071464"/>
    <w:rsid w:val="0007180A"/>
    <w:rsid w:val="00071874"/>
    <w:rsid w:val="00071958"/>
    <w:rsid w:val="0007323C"/>
    <w:rsid w:val="00073773"/>
    <w:rsid w:val="00073B9A"/>
    <w:rsid w:val="00073C65"/>
    <w:rsid w:val="0007452F"/>
    <w:rsid w:val="00074802"/>
    <w:rsid w:val="00074F18"/>
    <w:rsid w:val="0007519D"/>
    <w:rsid w:val="00075A64"/>
    <w:rsid w:val="00076C66"/>
    <w:rsid w:val="0007718F"/>
    <w:rsid w:val="000776F3"/>
    <w:rsid w:val="0007771F"/>
    <w:rsid w:val="0007780D"/>
    <w:rsid w:val="00077A76"/>
    <w:rsid w:val="0008010D"/>
    <w:rsid w:val="00080634"/>
    <w:rsid w:val="00081C80"/>
    <w:rsid w:val="00082996"/>
    <w:rsid w:val="000829E4"/>
    <w:rsid w:val="00083939"/>
    <w:rsid w:val="00084226"/>
    <w:rsid w:val="00084AA3"/>
    <w:rsid w:val="000856E5"/>
    <w:rsid w:val="00085B79"/>
    <w:rsid w:val="000861E5"/>
    <w:rsid w:val="00086416"/>
    <w:rsid w:val="00086749"/>
    <w:rsid w:val="000867D7"/>
    <w:rsid w:val="00087DEE"/>
    <w:rsid w:val="000904C2"/>
    <w:rsid w:val="00090E30"/>
    <w:rsid w:val="00091973"/>
    <w:rsid w:val="00091B58"/>
    <w:rsid w:val="000920FD"/>
    <w:rsid w:val="000935C0"/>
    <w:rsid w:val="0009387A"/>
    <w:rsid w:val="000951C7"/>
    <w:rsid w:val="00095988"/>
    <w:rsid w:val="00096100"/>
    <w:rsid w:val="0009764E"/>
    <w:rsid w:val="00097FD9"/>
    <w:rsid w:val="000A17F1"/>
    <w:rsid w:val="000A32A9"/>
    <w:rsid w:val="000A4371"/>
    <w:rsid w:val="000A47F8"/>
    <w:rsid w:val="000A4E71"/>
    <w:rsid w:val="000A5EE6"/>
    <w:rsid w:val="000A6BC4"/>
    <w:rsid w:val="000A7998"/>
    <w:rsid w:val="000A79F3"/>
    <w:rsid w:val="000B024A"/>
    <w:rsid w:val="000B0B3F"/>
    <w:rsid w:val="000B0D5D"/>
    <w:rsid w:val="000B1724"/>
    <w:rsid w:val="000B1B71"/>
    <w:rsid w:val="000B1C86"/>
    <w:rsid w:val="000B240F"/>
    <w:rsid w:val="000B2F70"/>
    <w:rsid w:val="000B3959"/>
    <w:rsid w:val="000B40D8"/>
    <w:rsid w:val="000B4714"/>
    <w:rsid w:val="000B4FBC"/>
    <w:rsid w:val="000B51F2"/>
    <w:rsid w:val="000B5398"/>
    <w:rsid w:val="000B633A"/>
    <w:rsid w:val="000B679B"/>
    <w:rsid w:val="000C1050"/>
    <w:rsid w:val="000C14AB"/>
    <w:rsid w:val="000C236A"/>
    <w:rsid w:val="000C23BC"/>
    <w:rsid w:val="000C3171"/>
    <w:rsid w:val="000C31DB"/>
    <w:rsid w:val="000C3B3D"/>
    <w:rsid w:val="000C4642"/>
    <w:rsid w:val="000C4BCF"/>
    <w:rsid w:val="000C5738"/>
    <w:rsid w:val="000C58E8"/>
    <w:rsid w:val="000C61EF"/>
    <w:rsid w:val="000C6D95"/>
    <w:rsid w:val="000D0D54"/>
    <w:rsid w:val="000D2008"/>
    <w:rsid w:val="000D2141"/>
    <w:rsid w:val="000D308E"/>
    <w:rsid w:val="000D32B4"/>
    <w:rsid w:val="000D33FD"/>
    <w:rsid w:val="000D35F3"/>
    <w:rsid w:val="000D4227"/>
    <w:rsid w:val="000D48A0"/>
    <w:rsid w:val="000D4E49"/>
    <w:rsid w:val="000D5EE3"/>
    <w:rsid w:val="000D62F3"/>
    <w:rsid w:val="000D7796"/>
    <w:rsid w:val="000D78A4"/>
    <w:rsid w:val="000D7B62"/>
    <w:rsid w:val="000D7BA2"/>
    <w:rsid w:val="000E0734"/>
    <w:rsid w:val="000E0B3D"/>
    <w:rsid w:val="000E25F6"/>
    <w:rsid w:val="000E2726"/>
    <w:rsid w:val="000E2F01"/>
    <w:rsid w:val="000E4839"/>
    <w:rsid w:val="000E4B00"/>
    <w:rsid w:val="000E4B34"/>
    <w:rsid w:val="000E4E0C"/>
    <w:rsid w:val="000E541B"/>
    <w:rsid w:val="000E5AF1"/>
    <w:rsid w:val="000E68BC"/>
    <w:rsid w:val="000E7C52"/>
    <w:rsid w:val="000F0020"/>
    <w:rsid w:val="000F0169"/>
    <w:rsid w:val="000F0287"/>
    <w:rsid w:val="000F0C56"/>
    <w:rsid w:val="000F16D6"/>
    <w:rsid w:val="000F241D"/>
    <w:rsid w:val="000F28E5"/>
    <w:rsid w:val="000F4A85"/>
    <w:rsid w:val="000F4BF3"/>
    <w:rsid w:val="000F5237"/>
    <w:rsid w:val="000F56B7"/>
    <w:rsid w:val="000F5EA9"/>
    <w:rsid w:val="000F6568"/>
    <w:rsid w:val="000F6676"/>
    <w:rsid w:val="000F6708"/>
    <w:rsid w:val="000F69CE"/>
    <w:rsid w:val="000F6A4C"/>
    <w:rsid w:val="000F6B8D"/>
    <w:rsid w:val="000F6C5F"/>
    <w:rsid w:val="000F6D6A"/>
    <w:rsid w:val="000F7BE7"/>
    <w:rsid w:val="0010002D"/>
    <w:rsid w:val="00100B87"/>
    <w:rsid w:val="00101C0C"/>
    <w:rsid w:val="00101D14"/>
    <w:rsid w:val="00102776"/>
    <w:rsid w:val="0010284A"/>
    <w:rsid w:val="00103088"/>
    <w:rsid w:val="00103B1A"/>
    <w:rsid w:val="00104522"/>
    <w:rsid w:val="00104544"/>
    <w:rsid w:val="00105518"/>
    <w:rsid w:val="0010558C"/>
    <w:rsid w:val="0010673A"/>
    <w:rsid w:val="00106B7D"/>
    <w:rsid w:val="00106D77"/>
    <w:rsid w:val="00106F25"/>
    <w:rsid w:val="001106CB"/>
    <w:rsid w:val="00110F3A"/>
    <w:rsid w:val="001115B4"/>
    <w:rsid w:val="00111873"/>
    <w:rsid w:val="00112542"/>
    <w:rsid w:val="00112AD8"/>
    <w:rsid w:val="001135DC"/>
    <w:rsid w:val="00113D8D"/>
    <w:rsid w:val="00114003"/>
    <w:rsid w:val="00114335"/>
    <w:rsid w:val="001147EC"/>
    <w:rsid w:val="001151DD"/>
    <w:rsid w:val="0011580A"/>
    <w:rsid w:val="00115997"/>
    <w:rsid w:val="00115A41"/>
    <w:rsid w:val="00115CED"/>
    <w:rsid w:val="00116954"/>
    <w:rsid w:val="0011696A"/>
    <w:rsid w:val="00120D48"/>
    <w:rsid w:val="00121A36"/>
    <w:rsid w:val="001230C7"/>
    <w:rsid w:val="0012321E"/>
    <w:rsid w:val="0012335C"/>
    <w:rsid w:val="001235C1"/>
    <w:rsid w:val="00125228"/>
    <w:rsid w:val="001254F1"/>
    <w:rsid w:val="001262F1"/>
    <w:rsid w:val="001269D1"/>
    <w:rsid w:val="00126A64"/>
    <w:rsid w:val="00126DAF"/>
    <w:rsid w:val="00126E34"/>
    <w:rsid w:val="001300AB"/>
    <w:rsid w:val="00130549"/>
    <w:rsid w:val="0013099B"/>
    <w:rsid w:val="00130BAD"/>
    <w:rsid w:val="001311B5"/>
    <w:rsid w:val="00132F18"/>
    <w:rsid w:val="00134219"/>
    <w:rsid w:val="001343D6"/>
    <w:rsid w:val="001357C6"/>
    <w:rsid w:val="00135D98"/>
    <w:rsid w:val="00135E2D"/>
    <w:rsid w:val="0013636D"/>
    <w:rsid w:val="00136491"/>
    <w:rsid w:val="001366D1"/>
    <w:rsid w:val="001378E0"/>
    <w:rsid w:val="001405B4"/>
    <w:rsid w:val="001407DA"/>
    <w:rsid w:val="001412DC"/>
    <w:rsid w:val="00141979"/>
    <w:rsid w:val="00142226"/>
    <w:rsid w:val="00142E91"/>
    <w:rsid w:val="00142F77"/>
    <w:rsid w:val="0014432E"/>
    <w:rsid w:val="00144CF1"/>
    <w:rsid w:val="00145218"/>
    <w:rsid w:val="00147600"/>
    <w:rsid w:val="00147D77"/>
    <w:rsid w:val="00150D90"/>
    <w:rsid w:val="00151BF5"/>
    <w:rsid w:val="00151D7D"/>
    <w:rsid w:val="00152525"/>
    <w:rsid w:val="001526A0"/>
    <w:rsid w:val="001527B6"/>
    <w:rsid w:val="0015297F"/>
    <w:rsid w:val="0015312B"/>
    <w:rsid w:val="001537B5"/>
    <w:rsid w:val="001537F3"/>
    <w:rsid w:val="00153DA2"/>
    <w:rsid w:val="00154358"/>
    <w:rsid w:val="0015450A"/>
    <w:rsid w:val="00154D70"/>
    <w:rsid w:val="00156318"/>
    <w:rsid w:val="00156511"/>
    <w:rsid w:val="00156602"/>
    <w:rsid w:val="00156D83"/>
    <w:rsid w:val="00157370"/>
    <w:rsid w:val="001574DA"/>
    <w:rsid w:val="001600AB"/>
    <w:rsid w:val="00160351"/>
    <w:rsid w:val="00160D5F"/>
    <w:rsid w:val="00161127"/>
    <w:rsid w:val="0016182B"/>
    <w:rsid w:val="001627C2"/>
    <w:rsid w:val="0016285E"/>
    <w:rsid w:val="001632FC"/>
    <w:rsid w:val="00164B86"/>
    <w:rsid w:val="001652B3"/>
    <w:rsid w:val="00165E95"/>
    <w:rsid w:val="00166103"/>
    <w:rsid w:val="00166ED8"/>
    <w:rsid w:val="00167027"/>
    <w:rsid w:val="00170532"/>
    <w:rsid w:val="00170A70"/>
    <w:rsid w:val="00170C13"/>
    <w:rsid w:val="00171024"/>
    <w:rsid w:val="00171327"/>
    <w:rsid w:val="0017134F"/>
    <w:rsid w:val="0017145F"/>
    <w:rsid w:val="001717BF"/>
    <w:rsid w:val="00171D12"/>
    <w:rsid w:val="001726A2"/>
    <w:rsid w:val="0017272D"/>
    <w:rsid w:val="00172C9F"/>
    <w:rsid w:val="001730EE"/>
    <w:rsid w:val="001744D1"/>
    <w:rsid w:val="001745A6"/>
    <w:rsid w:val="001745BA"/>
    <w:rsid w:val="00174668"/>
    <w:rsid w:val="00174D03"/>
    <w:rsid w:val="001763CE"/>
    <w:rsid w:val="00177188"/>
    <w:rsid w:val="001773D6"/>
    <w:rsid w:val="00177D20"/>
    <w:rsid w:val="00180773"/>
    <w:rsid w:val="00180E67"/>
    <w:rsid w:val="0018147A"/>
    <w:rsid w:val="001827E4"/>
    <w:rsid w:val="001834C6"/>
    <w:rsid w:val="00184845"/>
    <w:rsid w:val="00184CEF"/>
    <w:rsid w:val="001852E5"/>
    <w:rsid w:val="0018598A"/>
    <w:rsid w:val="00185D89"/>
    <w:rsid w:val="0018668B"/>
    <w:rsid w:val="0019000A"/>
    <w:rsid w:val="001904C6"/>
    <w:rsid w:val="00190B71"/>
    <w:rsid w:val="00190C04"/>
    <w:rsid w:val="00190C7F"/>
    <w:rsid w:val="00191465"/>
    <w:rsid w:val="00192271"/>
    <w:rsid w:val="00192351"/>
    <w:rsid w:val="0019246D"/>
    <w:rsid w:val="00193077"/>
    <w:rsid w:val="001932BA"/>
    <w:rsid w:val="00193C1B"/>
    <w:rsid w:val="00193EF9"/>
    <w:rsid w:val="00194781"/>
    <w:rsid w:val="0019574D"/>
    <w:rsid w:val="0019596C"/>
    <w:rsid w:val="00196AC8"/>
    <w:rsid w:val="00197450"/>
    <w:rsid w:val="001A21BD"/>
    <w:rsid w:val="001A35AB"/>
    <w:rsid w:val="001A4799"/>
    <w:rsid w:val="001A48E0"/>
    <w:rsid w:val="001A596D"/>
    <w:rsid w:val="001A71C7"/>
    <w:rsid w:val="001A71DF"/>
    <w:rsid w:val="001A787C"/>
    <w:rsid w:val="001B0685"/>
    <w:rsid w:val="001B0C95"/>
    <w:rsid w:val="001B1C5D"/>
    <w:rsid w:val="001B1DC6"/>
    <w:rsid w:val="001B1FF8"/>
    <w:rsid w:val="001B2149"/>
    <w:rsid w:val="001B351E"/>
    <w:rsid w:val="001B35A3"/>
    <w:rsid w:val="001B3604"/>
    <w:rsid w:val="001B379C"/>
    <w:rsid w:val="001B38A4"/>
    <w:rsid w:val="001B4006"/>
    <w:rsid w:val="001B4190"/>
    <w:rsid w:val="001B424C"/>
    <w:rsid w:val="001B4E1A"/>
    <w:rsid w:val="001B4E1E"/>
    <w:rsid w:val="001B5A3B"/>
    <w:rsid w:val="001B663C"/>
    <w:rsid w:val="001B66D7"/>
    <w:rsid w:val="001B6878"/>
    <w:rsid w:val="001B6B06"/>
    <w:rsid w:val="001C005D"/>
    <w:rsid w:val="001C0BCC"/>
    <w:rsid w:val="001C0BED"/>
    <w:rsid w:val="001C1710"/>
    <w:rsid w:val="001C247A"/>
    <w:rsid w:val="001C3DA6"/>
    <w:rsid w:val="001C4079"/>
    <w:rsid w:val="001C5649"/>
    <w:rsid w:val="001C5CCD"/>
    <w:rsid w:val="001C64F2"/>
    <w:rsid w:val="001C7056"/>
    <w:rsid w:val="001C70F9"/>
    <w:rsid w:val="001C79BA"/>
    <w:rsid w:val="001D0827"/>
    <w:rsid w:val="001D08B1"/>
    <w:rsid w:val="001D0E4B"/>
    <w:rsid w:val="001D1444"/>
    <w:rsid w:val="001D191E"/>
    <w:rsid w:val="001D2586"/>
    <w:rsid w:val="001D29DF"/>
    <w:rsid w:val="001D2E23"/>
    <w:rsid w:val="001D40AE"/>
    <w:rsid w:val="001D41B3"/>
    <w:rsid w:val="001D4B1A"/>
    <w:rsid w:val="001D5303"/>
    <w:rsid w:val="001D5328"/>
    <w:rsid w:val="001D59E3"/>
    <w:rsid w:val="001D5D6A"/>
    <w:rsid w:val="001D6BF2"/>
    <w:rsid w:val="001D6D43"/>
    <w:rsid w:val="001D7AC8"/>
    <w:rsid w:val="001E07AC"/>
    <w:rsid w:val="001E092B"/>
    <w:rsid w:val="001E0BFD"/>
    <w:rsid w:val="001E2F70"/>
    <w:rsid w:val="001E39D8"/>
    <w:rsid w:val="001E3D59"/>
    <w:rsid w:val="001E3DA6"/>
    <w:rsid w:val="001E3F12"/>
    <w:rsid w:val="001E58FA"/>
    <w:rsid w:val="001E5ABD"/>
    <w:rsid w:val="001E5CBA"/>
    <w:rsid w:val="001E5D86"/>
    <w:rsid w:val="001E65EA"/>
    <w:rsid w:val="001E6E82"/>
    <w:rsid w:val="001E6EC4"/>
    <w:rsid w:val="001F06AA"/>
    <w:rsid w:val="001F0BF4"/>
    <w:rsid w:val="001F0D8C"/>
    <w:rsid w:val="001F1674"/>
    <w:rsid w:val="001F2696"/>
    <w:rsid w:val="001F2808"/>
    <w:rsid w:val="001F329B"/>
    <w:rsid w:val="001F423F"/>
    <w:rsid w:val="001F45B7"/>
    <w:rsid w:val="001F498C"/>
    <w:rsid w:val="001F4A0F"/>
    <w:rsid w:val="001F4B0F"/>
    <w:rsid w:val="001F4BC8"/>
    <w:rsid w:val="001F5031"/>
    <w:rsid w:val="001F61A3"/>
    <w:rsid w:val="001F6DE0"/>
    <w:rsid w:val="001F78B6"/>
    <w:rsid w:val="001F7CDE"/>
    <w:rsid w:val="002002EA"/>
    <w:rsid w:val="00200355"/>
    <w:rsid w:val="00200420"/>
    <w:rsid w:val="002006C1"/>
    <w:rsid w:val="0020089D"/>
    <w:rsid w:val="00200CD9"/>
    <w:rsid w:val="00200EF8"/>
    <w:rsid w:val="00203680"/>
    <w:rsid w:val="002041C0"/>
    <w:rsid w:val="00204DB3"/>
    <w:rsid w:val="00204F32"/>
    <w:rsid w:val="00205095"/>
    <w:rsid w:val="00205572"/>
    <w:rsid w:val="00206A82"/>
    <w:rsid w:val="002076E3"/>
    <w:rsid w:val="00207949"/>
    <w:rsid w:val="002107B9"/>
    <w:rsid w:val="00211ADF"/>
    <w:rsid w:val="00211CB8"/>
    <w:rsid w:val="00212705"/>
    <w:rsid w:val="00213356"/>
    <w:rsid w:val="00213585"/>
    <w:rsid w:val="00213A54"/>
    <w:rsid w:val="00214380"/>
    <w:rsid w:val="0021532A"/>
    <w:rsid w:val="00215E64"/>
    <w:rsid w:val="0021619C"/>
    <w:rsid w:val="002166FA"/>
    <w:rsid w:val="00217218"/>
    <w:rsid w:val="00217355"/>
    <w:rsid w:val="002178BD"/>
    <w:rsid w:val="002220AD"/>
    <w:rsid w:val="00222CBA"/>
    <w:rsid w:val="002237B6"/>
    <w:rsid w:val="002237BA"/>
    <w:rsid w:val="002237C6"/>
    <w:rsid w:val="00223A6F"/>
    <w:rsid w:val="00223B34"/>
    <w:rsid w:val="0022581A"/>
    <w:rsid w:val="00225D82"/>
    <w:rsid w:val="0022627F"/>
    <w:rsid w:val="0023050F"/>
    <w:rsid w:val="00231B72"/>
    <w:rsid w:val="00231BD4"/>
    <w:rsid w:val="002326A1"/>
    <w:rsid w:val="00233622"/>
    <w:rsid w:val="002356B5"/>
    <w:rsid w:val="0023653F"/>
    <w:rsid w:val="002365D2"/>
    <w:rsid w:val="002369CB"/>
    <w:rsid w:val="00236A60"/>
    <w:rsid w:val="002371DC"/>
    <w:rsid w:val="002373AD"/>
    <w:rsid w:val="00237A72"/>
    <w:rsid w:val="002403C4"/>
    <w:rsid w:val="00240FCB"/>
    <w:rsid w:val="00241DD9"/>
    <w:rsid w:val="00242057"/>
    <w:rsid w:val="00242C9B"/>
    <w:rsid w:val="00243B2E"/>
    <w:rsid w:val="002444F9"/>
    <w:rsid w:val="0024470C"/>
    <w:rsid w:val="00244F92"/>
    <w:rsid w:val="002451AF"/>
    <w:rsid w:val="00246491"/>
    <w:rsid w:val="00250479"/>
    <w:rsid w:val="00252DD9"/>
    <w:rsid w:val="002530AE"/>
    <w:rsid w:val="002534D2"/>
    <w:rsid w:val="00253D13"/>
    <w:rsid w:val="00254064"/>
    <w:rsid w:val="002540AC"/>
    <w:rsid w:val="00255E7F"/>
    <w:rsid w:val="00256664"/>
    <w:rsid w:val="0025687A"/>
    <w:rsid w:val="0025736E"/>
    <w:rsid w:val="002573B7"/>
    <w:rsid w:val="0025755C"/>
    <w:rsid w:val="00257644"/>
    <w:rsid w:val="0026049E"/>
    <w:rsid w:val="00261405"/>
    <w:rsid w:val="00263D3F"/>
    <w:rsid w:val="0026435E"/>
    <w:rsid w:val="00264AEC"/>
    <w:rsid w:val="00265A82"/>
    <w:rsid w:val="00265C6C"/>
    <w:rsid w:val="002661C7"/>
    <w:rsid w:val="002672F8"/>
    <w:rsid w:val="00270FA4"/>
    <w:rsid w:val="00271047"/>
    <w:rsid w:val="00271938"/>
    <w:rsid w:val="00271AC8"/>
    <w:rsid w:val="00272689"/>
    <w:rsid w:val="00272736"/>
    <w:rsid w:val="002729AF"/>
    <w:rsid w:val="002736AE"/>
    <w:rsid w:val="00273FC2"/>
    <w:rsid w:val="00275993"/>
    <w:rsid w:val="00275E2B"/>
    <w:rsid w:val="002763C1"/>
    <w:rsid w:val="0027789A"/>
    <w:rsid w:val="00280A0D"/>
    <w:rsid w:val="00280EF5"/>
    <w:rsid w:val="0028124A"/>
    <w:rsid w:val="002812E6"/>
    <w:rsid w:val="00282095"/>
    <w:rsid w:val="00282B7B"/>
    <w:rsid w:val="00282BFB"/>
    <w:rsid w:val="002830F4"/>
    <w:rsid w:val="0028339E"/>
    <w:rsid w:val="002833CE"/>
    <w:rsid w:val="00283670"/>
    <w:rsid w:val="00283A1E"/>
    <w:rsid w:val="00283B87"/>
    <w:rsid w:val="00284429"/>
    <w:rsid w:val="00284946"/>
    <w:rsid w:val="00284BB7"/>
    <w:rsid w:val="00284C16"/>
    <w:rsid w:val="00284E19"/>
    <w:rsid w:val="002875CD"/>
    <w:rsid w:val="002876BB"/>
    <w:rsid w:val="00290351"/>
    <w:rsid w:val="0029220C"/>
    <w:rsid w:val="002923DA"/>
    <w:rsid w:val="002931C4"/>
    <w:rsid w:val="00293A22"/>
    <w:rsid w:val="002945CA"/>
    <w:rsid w:val="002948CD"/>
    <w:rsid w:val="00295A71"/>
    <w:rsid w:val="00295E25"/>
    <w:rsid w:val="00296126"/>
    <w:rsid w:val="0029679B"/>
    <w:rsid w:val="00296873"/>
    <w:rsid w:val="00296ECA"/>
    <w:rsid w:val="002A02CA"/>
    <w:rsid w:val="002A1292"/>
    <w:rsid w:val="002A1FE6"/>
    <w:rsid w:val="002A302A"/>
    <w:rsid w:val="002A3276"/>
    <w:rsid w:val="002A3B8C"/>
    <w:rsid w:val="002A3D36"/>
    <w:rsid w:val="002A3F26"/>
    <w:rsid w:val="002A3F41"/>
    <w:rsid w:val="002A3F9A"/>
    <w:rsid w:val="002A439C"/>
    <w:rsid w:val="002A4BCD"/>
    <w:rsid w:val="002A4CF7"/>
    <w:rsid w:val="002A5250"/>
    <w:rsid w:val="002A5661"/>
    <w:rsid w:val="002A5878"/>
    <w:rsid w:val="002A5CF4"/>
    <w:rsid w:val="002A605D"/>
    <w:rsid w:val="002A789D"/>
    <w:rsid w:val="002B00A1"/>
    <w:rsid w:val="002B1231"/>
    <w:rsid w:val="002B1890"/>
    <w:rsid w:val="002B39A7"/>
    <w:rsid w:val="002B4124"/>
    <w:rsid w:val="002B43C5"/>
    <w:rsid w:val="002B49D3"/>
    <w:rsid w:val="002B4B2B"/>
    <w:rsid w:val="002B5223"/>
    <w:rsid w:val="002B62CF"/>
    <w:rsid w:val="002B68D9"/>
    <w:rsid w:val="002B6E70"/>
    <w:rsid w:val="002B76F8"/>
    <w:rsid w:val="002B78E6"/>
    <w:rsid w:val="002B79D1"/>
    <w:rsid w:val="002C005A"/>
    <w:rsid w:val="002C11B5"/>
    <w:rsid w:val="002C2565"/>
    <w:rsid w:val="002C2639"/>
    <w:rsid w:val="002C362C"/>
    <w:rsid w:val="002C5009"/>
    <w:rsid w:val="002C52D1"/>
    <w:rsid w:val="002C5315"/>
    <w:rsid w:val="002C54F8"/>
    <w:rsid w:val="002C55C1"/>
    <w:rsid w:val="002C6195"/>
    <w:rsid w:val="002C6B0A"/>
    <w:rsid w:val="002C72F2"/>
    <w:rsid w:val="002D0A44"/>
    <w:rsid w:val="002D1CD5"/>
    <w:rsid w:val="002D2229"/>
    <w:rsid w:val="002D2AF6"/>
    <w:rsid w:val="002D3047"/>
    <w:rsid w:val="002D33F4"/>
    <w:rsid w:val="002D3AD8"/>
    <w:rsid w:val="002D3F32"/>
    <w:rsid w:val="002D42BB"/>
    <w:rsid w:val="002D4369"/>
    <w:rsid w:val="002D4F21"/>
    <w:rsid w:val="002D521E"/>
    <w:rsid w:val="002D6298"/>
    <w:rsid w:val="002D66B9"/>
    <w:rsid w:val="002D738D"/>
    <w:rsid w:val="002E2A53"/>
    <w:rsid w:val="002E3103"/>
    <w:rsid w:val="002E387D"/>
    <w:rsid w:val="002E3EB7"/>
    <w:rsid w:val="002E3FC3"/>
    <w:rsid w:val="002E40EC"/>
    <w:rsid w:val="002E41C2"/>
    <w:rsid w:val="002E4B78"/>
    <w:rsid w:val="002E4C25"/>
    <w:rsid w:val="002E5264"/>
    <w:rsid w:val="002E5C89"/>
    <w:rsid w:val="002E670A"/>
    <w:rsid w:val="002E6940"/>
    <w:rsid w:val="002E6E7D"/>
    <w:rsid w:val="002E706A"/>
    <w:rsid w:val="002E7161"/>
    <w:rsid w:val="002E76A9"/>
    <w:rsid w:val="002F0125"/>
    <w:rsid w:val="002F0961"/>
    <w:rsid w:val="002F0AAB"/>
    <w:rsid w:val="002F13C7"/>
    <w:rsid w:val="002F1CA4"/>
    <w:rsid w:val="002F2615"/>
    <w:rsid w:val="002F2C1D"/>
    <w:rsid w:val="002F3DF9"/>
    <w:rsid w:val="002F4102"/>
    <w:rsid w:val="002F4168"/>
    <w:rsid w:val="002F4B8F"/>
    <w:rsid w:val="002F4F94"/>
    <w:rsid w:val="002F53C8"/>
    <w:rsid w:val="002F65CF"/>
    <w:rsid w:val="002F6B29"/>
    <w:rsid w:val="002F7099"/>
    <w:rsid w:val="00300545"/>
    <w:rsid w:val="0030057F"/>
    <w:rsid w:val="0030074F"/>
    <w:rsid w:val="003013A8"/>
    <w:rsid w:val="00302E73"/>
    <w:rsid w:val="0030354F"/>
    <w:rsid w:val="00303662"/>
    <w:rsid w:val="00303BAD"/>
    <w:rsid w:val="00304EE0"/>
    <w:rsid w:val="00306086"/>
    <w:rsid w:val="00306140"/>
    <w:rsid w:val="0030669A"/>
    <w:rsid w:val="0030707A"/>
    <w:rsid w:val="00307240"/>
    <w:rsid w:val="00307980"/>
    <w:rsid w:val="003104B3"/>
    <w:rsid w:val="003119F5"/>
    <w:rsid w:val="00311C1A"/>
    <w:rsid w:val="003133D7"/>
    <w:rsid w:val="003143AA"/>
    <w:rsid w:val="00314838"/>
    <w:rsid w:val="00315D29"/>
    <w:rsid w:val="00317E61"/>
    <w:rsid w:val="003201F1"/>
    <w:rsid w:val="00320B39"/>
    <w:rsid w:val="00320FAA"/>
    <w:rsid w:val="00321308"/>
    <w:rsid w:val="00321811"/>
    <w:rsid w:val="0032242A"/>
    <w:rsid w:val="00322560"/>
    <w:rsid w:val="0032257E"/>
    <w:rsid w:val="003227D4"/>
    <w:rsid w:val="003229CB"/>
    <w:rsid w:val="00323059"/>
    <w:rsid w:val="003240C6"/>
    <w:rsid w:val="003244BD"/>
    <w:rsid w:val="0032521D"/>
    <w:rsid w:val="00326980"/>
    <w:rsid w:val="003278E6"/>
    <w:rsid w:val="00330854"/>
    <w:rsid w:val="00333B9A"/>
    <w:rsid w:val="00333C96"/>
    <w:rsid w:val="00333CB1"/>
    <w:rsid w:val="00333F26"/>
    <w:rsid w:val="0033401B"/>
    <w:rsid w:val="00334DD5"/>
    <w:rsid w:val="00337628"/>
    <w:rsid w:val="00337CE9"/>
    <w:rsid w:val="0034009B"/>
    <w:rsid w:val="003421FE"/>
    <w:rsid w:val="003427EF"/>
    <w:rsid w:val="003431E3"/>
    <w:rsid w:val="00343271"/>
    <w:rsid w:val="00343342"/>
    <w:rsid w:val="00343411"/>
    <w:rsid w:val="0034349A"/>
    <w:rsid w:val="00344A83"/>
    <w:rsid w:val="00344DD7"/>
    <w:rsid w:val="00345473"/>
    <w:rsid w:val="00345811"/>
    <w:rsid w:val="00345FD0"/>
    <w:rsid w:val="00346758"/>
    <w:rsid w:val="003473F7"/>
    <w:rsid w:val="0035066F"/>
    <w:rsid w:val="003507C1"/>
    <w:rsid w:val="00350DCB"/>
    <w:rsid w:val="0035105B"/>
    <w:rsid w:val="003528D4"/>
    <w:rsid w:val="003540BB"/>
    <w:rsid w:val="0035455E"/>
    <w:rsid w:val="00355761"/>
    <w:rsid w:val="003559C3"/>
    <w:rsid w:val="00356BC6"/>
    <w:rsid w:val="0035710E"/>
    <w:rsid w:val="003577FE"/>
    <w:rsid w:val="00357B3D"/>
    <w:rsid w:val="00361C25"/>
    <w:rsid w:val="00362C73"/>
    <w:rsid w:val="00362CCD"/>
    <w:rsid w:val="00362E11"/>
    <w:rsid w:val="00364381"/>
    <w:rsid w:val="00364F0F"/>
    <w:rsid w:val="003650FA"/>
    <w:rsid w:val="00365B26"/>
    <w:rsid w:val="003661EC"/>
    <w:rsid w:val="00366A38"/>
    <w:rsid w:val="00366B92"/>
    <w:rsid w:val="00366D3B"/>
    <w:rsid w:val="00367829"/>
    <w:rsid w:val="00367A65"/>
    <w:rsid w:val="003702FA"/>
    <w:rsid w:val="00370444"/>
    <w:rsid w:val="0037098C"/>
    <w:rsid w:val="00370EBC"/>
    <w:rsid w:val="00370F33"/>
    <w:rsid w:val="003717F9"/>
    <w:rsid w:val="00373240"/>
    <w:rsid w:val="00374115"/>
    <w:rsid w:val="003741E5"/>
    <w:rsid w:val="00374306"/>
    <w:rsid w:val="0037441A"/>
    <w:rsid w:val="00374EAD"/>
    <w:rsid w:val="00374FA5"/>
    <w:rsid w:val="003757FB"/>
    <w:rsid w:val="00376EF5"/>
    <w:rsid w:val="0038092C"/>
    <w:rsid w:val="00381917"/>
    <w:rsid w:val="00382675"/>
    <w:rsid w:val="0038418C"/>
    <w:rsid w:val="00384283"/>
    <w:rsid w:val="003842DE"/>
    <w:rsid w:val="00384CB4"/>
    <w:rsid w:val="003854A2"/>
    <w:rsid w:val="00386A9F"/>
    <w:rsid w:val="00387374"/>
    <w:rsid w:val="003874CB"/>
    <w:rsid w:val="003874F0"/>
    <w:rsid w:val="003875B9"/>
    <w:rsid w:val="00387B1D"/>
    <w:rsid w:val="00387C5B"/>
    <w:rsid w:val="0039096A"/>
    <w:rsid w:val="00390DD1"/>
    <w:rsid w:val="00391100"/>
    <w:rsid w:val="00391212"/>
    <w:rsid w:val="00391805"/>
    <w:rsid w:val="00391910"/>
    <w:rsid w:val="00391AAF"/>
    <w:rsid w:val="0039232C"/>
    <w:rsid w:val="0039290F"/>
    <w:rsid w:val="00393FDF"/>
    <w:rsid w:val="00394426"/>
    <w:rsid w:val="003951A2"/>
    <w:rsid w:val="00396D9F"/>
    <w:rsid w:val="00397892"/>
    <w:rsid w:val="003A077C"/>
    <w:rsid w:val="003A0A41"/>
    <w:rsid w:val="003A12A4"/>
    <w:rsid w:val="003A173F"/>
    <w:rsid w:val="003A176B"/>
    <w:rsid w:val="003A1AE1"/>
    <w:rsid w:val="003A1D26"/>
    <w:rsid w:val="003A1FEC"/>
    <w:rsid w:val="003A3735"/>
    <w:rsid w:val="003A3C00"/>
    <w:rsid w:val="003A3C33"/>
    <w:rsid w:val="003A3FBD"/>
    <w:rsid w:val="003A4228"/>
    <w:rsid w:val="003A4E4C"/>
    <w:rsid w:val="003A60E8"/>
    <w:rsid w:val="003A6634"/>
    <w:rsid w:val="003A677A"/>
    <w:rsid w:val="003A7F2A"/>
    <w:rsid w:val="003B020F"/>
    <w:rsid w:val="003B0AC1"/>
    <w:rsid w:val="003B10D7"/>
    <w:rsid w:val="003B1FAC"/>
    <w:rsid w:val="003B243A"/>
    <w:rsid w:val="003B2EBB"/>
    <w:rsid w:val="003B5928"/>
    <w:rsid w:val="003B594B"/>
    <w:rsid w:val="003B6761"/>
    <w:rsid w:val="003B67BB"/>
    <w:rsid w:val="003B693E"/>
    <w:rsid w:val="003B7EEF"/>
    <w:rsid w:val="003C0A07"/>
    <w:rsid w:val="003C19B1"/>
    <w:rsid w:val="003C21CF"/>
    <w:rsid w:val="003C283D"/>
    <w:rsid w:val="003C32F2"/>
    <w:rsid w:val="003C3CB6"/>
    <w:rsid w:val="003C489A"/>
    <w:rsid w:val="003C49C0"/>
    <w:rsid w:val="003C4DEF"/>
    <w:rsid w:val="003C5295"/>
    <w:rsid w:val="003C5BF8"/>
    <w:rsid w:val="003C7038"/>
    <w:rsid w:val="003C732E"/>
    <w:rsid w:val="003C7E9F"/>
    <w:rsid w:val="003D046A"/>
    <w:rsid w:val="003D17F5"/>
    <w:rsid w:val="003D35E4"/>
    <w:rsid w:val="003D3A4A"/>
    <w:rsid w:val="003D3D1C"/>
    <w:rsid w:val="003D3DA9"/>
    <w:rsid w:val="003D4C76"/>
    <w:rsid w:val="003D4FF0"/>
    <w:rsid w:val="003D5503"/>
    <w:rsid w:val="003D5805"/>
    <w:rsid w:val="003D58A2"/>
    <w:rsid w:val="003D61A6"/>
    <w:rsid w:val="003D6CB8"/>
    <w:rsid w:val="003D751E"/>
    <w:rsid w:val="003E0064"/>
    <w:rsid w:val="003E0339"/>
    <w:rsid w:val="003E1622"/>
    <w:rsid w:val="003E170C"/>
    <w:rsid w:val="003E1767"/>
    <w:rsid w:val="003E4487"/>
    <w:rsid w:val="003E52EB"/>
    <w:rsid w:val="003E618F"/>
    <w:rsid w:val="003E6B21"/>
    <w:rsid w:val="003E76FD"/>
    <w:rsid w:val="003F003C"/>
    <w:rsid w:val="003F02A4"/>
    <w:rsid w:val="003F130A"/>
    <w:rsid w:val="003F1695"/>
    <w:rsid w:val="003F1ACE"/>
    <w:rsid w:val="003F1B6C"/>
    <w:rsid w:val="003F307A"/>
    <w:rsid w:val="003F30B8"/>
    <w:rsid w:val="003F33B5"/>
    <w:rsid w:val="003F3974"/>
    <w:rsid w:val="003F4050"/>
    <w:rsid w:val="003F5310"/>
    <w:rsid w:val="003F55CF"/>
    <w:rsid w:val="003F68E9"/>
    <w:rsid w:val="003F7DE9"/>
    <w:rsid w:val="004006A8"/>
    <w:rsid w:val="0040076E"/>
    <w:rsid w:val="0040139C"/>
    <w:rsid w:val="00403036"/>
    <w:rsid w:val="00403B50"/>
    <w:rsid w:val="0040451A"/>
    <w:rsid w:val="00404959"/>
    <w:rsid w:val="00404D81"/>
    <w:rsid w:val="00405911"/>
    <w:rsid w:val="00405A9C"/>
    <w:rsid w:val="00406220"/>
    <w:rsid w:val="00406789"/>
    <w:rsid w:val="0040782F"/>
    <w:rsid w:val="00407C12"/>
    <w:rsid w:val="00407F15"/>
    <w:rsid w:val="00407F68"/>
    <w:rsid w:val="00410008"/>
    <w:rsid w:val="004107E2"/>
    <w:rsid w:val="00411410"/>
    <w:rsid w:val="004117A4"/>
    <w:rsid w:val="00411F97"/>
    <w:rsid w:val="004122C2"/>
    <w:rsid w:val="0041244C"/>
    <w:rsid w:val="00412490"/>
    <w:rsid w:val="00412F7C"/>
    <w:rsid w:val="00413783"/>
    <w:rsid w:val="00413D65"/>
    <w:rsid w:val="00414F16"/>
    <w:rsid w:val="004151EF"/>
    <w:rsid w:val="004153ED"/>
    <w:rsid w:val="00415617"/>
    <w:rsid w:val="0041619E"/>
    <w:rsid w:val="00417221"/>
    <w:rsid w:val="004202DF"/>
    <w:rsid w:val="00420396"/>
    <w:rsid w:val="0042050D"/>
    <w:rsid w:val="0042057C"/>
    <w:rsid w:val="004216C3"/>
    <w:rsid w:val="00423D9C"/>
    <w:rsid w:val="00423EC8"/>
    <w:rsid w:val="00425A04"/>
    <w:rsid w:val="00426789"/>
    <w:rsid w:val="00426830"/>
    <w:rsid w:val="00426CF7"/>
    <w:rsid w:val="0043082B"/>
    <w:rsid w:val="00430CD6"/>
    <w:rsid w:val="0043106A"/>
    <w:rsid w:val="004318FF"/>
    <w:rsid w:val="00431B08"/>
    <w:rsid w:val="00432C9C"/>
    <w:rsid w:val="00433D7B"/>
    <w:rsid w:val="00433DA6"/>
    <w:rsid w:val="004341AC"/>
    <w:rsid w:val="004344D2"/>
    <w:rsid w:val="00434B97"/>
    <w:rsid w:val="00434E3F"/>
    <w:rsid w:val="00435F01"/>
    <w:rsid w:val="00436039"/>
    <w:rsid w:val="00436238"/>
    <w:rsid w:val="00436C8E"/>
    <w:rsid w:val="00437140"/>
    <w:rsid w:val="004404A5"/>
    <w:rsid w:val="00441337"/>
    <w:rsid w:val="004414C5"/>
    <w:rsid w:val="00441A5A"/>
    <w:rsid w:val="00441BD1"/>
    <w:rsid w:val="00441E78"/>
    <w:rsid w:val="0044201D"/>
    <w:rsid w:val="0044327B"/>
    <w:rsid w:val="00443856"/>
    <w:rsid w:val="00443967"/>
    <w:rsid w:val="00443F52"/>
    <w:rsid w:val="00444B97"/>
    <w:rsid w:val="00444BCA"/>
    <w:rsid w:val="00444E4A"/>
    <w:rsid w:val="004450A9"/>
    <w:rsid w:val="00445247"/>
    <w:rsid w:val="00445EDC"/>
    <w:rsid w:val="0044705E"/>
    <w:rsid w:val="004475E4"/>
    <w:rsid w:val="004476DA"/>
    <w:rsid w:val="004479D7"/>
    <w:rsid w:val="004505CA"/>
    <w:rsid w:val="00450EDA"/>
    <w:rsid w:val="00451FE9"/>
    <w:rsid w:val="00453408"/>
    <w:rsid w:val="00453ECA"/>
    <w:rsid w:val="0045521F"/>
    <w:rsid w:val="00455B91"/>
    <w:rsid w:val="0045634C"/>
    <w:rsid w:val="00456BBC"/>
    <w:rsid w:val="00457209"/>
    <w:rsid w:val="00460ACC"/>
    <w:rsid w:val="0046103A"/>
    <w:rsid w:val="00461660"/>
    <w:rsid w:val="004617AA"/>
    <w:rsid w:val="00461C4E"/>
    <w:rsid w:val="00462A6A"/>
    <w:rsid w:val="00462B53"/>
    <w:rsid w:val="00462D5E"/>
    <w:rsid w:val="00462E25"/>
    <w:rsid w:val="00463602"/>
    <w:rsid w:val="004659F9"/>
    <w:rsid w:val="004664A3"/>
    <w:rsid w:val="00470974"/>
    <w:rsid w:val="00470A3C"/>
    <w:rsid w:val="0047146A"/>
    <w:rsid w:val="004717A7"/>
    <w:rsid w:val="00471E08"/>
    <w:rsid w:val="00472308"/>
    <w:rsid w:val="004725BA"/>
    <w:rsid w:val="004727B5"/>
    <w:rsid w:val="00474747"/>
    <w:rsid w:val="0047487E"/>
    <w:rsid w:val="00474B8C"/>
    <w:rsid w:val="004755D6"/>
    <w:rsid w:val="00475AA1"/>
    <w:rsid w:val="00476044"/>
    <w:rsid w:val="004763E1"/>
    <w:rsid w:val="004767D0"/>
    <w:rsid w:val="004770B3"/>
    <w:rsid w:val="00480045"/>
    <w:rsid w:val="0048026F"/>
    <w:rsid w:val="00480AE0"/>
    <w:rsid w:val="00480B7B"/>
    <w:rsid w:val="00480D24"/>
    <w:rsid w:val="00481388"/>
    <w:rsid w:val="004814F0"/>
    <w:rsid w:val="00481D1D"/>
    <w:rsid w:val="00483884"/>
    <w:rsid w:val="00483CF4"/>
    <w:rsid w:val="00483D97"/>
    <w:rsid w:val="004840BE"/>
    <w:rsid w:val="0048460F"/>
    <w:rsid w:val="00484F22"/>
    <w:rsid w:val="00486244"/>
    <w:rsid w:val="00486CC8"/>
    <w:rsid w:val="004901F9"/>
    <w:rsid w:val="00490507"/>
    <w:rsid w:val="0049165B"/>
    <w:rsid w:val="0049272E"/>
    <w:rsid w:val="00492EE7"/>
    <w:rsid w:val="00493791"/>
    <w:rsid w:val="00494C04"/>
    <w:rsid w:val="00495D26"/>
    <w:rsid w:val="00496872"/>
    <w:rsid w:val="004A0AF7"/>
    <w:rsid w:val="004A14DB"/>
    <w:rsid w:val="004A169F"/>
    <w:rsid w:val="004A1AB4"/>
    <w:rsid w:val="004A1F61"/>
    <w:rsid w:val="004A2E5B"/>
    <w:rsid w:val="004A38F6"/>
    <w:rsid w:val="004A3C7C"/>
    <w:rsid w:val="004A4039"/>
    <w:rsid w:val="004A494D"/>
    <w:rsid w:val="004A558F"/>
    <w:rsid w:val="004A6435"/>
    <w:rsid w:val="004A7A01"/>
    <w:rsid w:val="004B0753"/>
    <w:rsid w:val="004B23A7"/>
    <w:rsid w:val="004B5615"/>
    <w:rsid w:val="004B595B"/>
    <w:rsid w:val="004B6146"/>
    <w:rsid w:val="004B6E2C"/>
    <w:rsid w:val="004B7074"/>
    <w:rsid w:val="004B724A"/>
    <w:rsid w:val="004B7484"/>
    <w:rsid w:val="004B7596"/>
    <w:rsid w:val="004B7659"/>
    <w:rsid w:val="004C0719"/>
    <w:rsid w:val="004C08FE"/>
    <w:rsid w:val="004C0F59"/>
    <w:rsid w:val="004C11CA"/>
    <w:rsid w:val="004C1C48"/>
    <w:rsid w:val="004C22AE"/>
    <w:rsid w:val="004C2C3C"/>
    <w:rsid w:val="004C3818"/>
    <w:rsid w:val="004C47A1"/>
    <w:rsid w:val="004C4C73"/>
    <w:rsid w:val="004C7B29"/>
    <w:rsid w:val="004C7E79"/>
    <w:rsid w:val="004D0670"/>
    <w:rsid w:val="004D0685"/>
    <w:rsid w:val="004D0DE7"/>
    <w:rsid w:val="004D11D1"/>
    <w:rsid w:val="004D295B"/>
    <w:rsid w:val="004D36E1"/>
    <w:rsid w:val="004D3ECA"/>
    <w:rsid w:val="004D4063"/>
    <w:rsid w:val="004D5192"/>
    <w:rsid w:val="004D5CE4"/>
    <w:rsid w:val="004D63B4"/>
    <w:rsid w:val="004D67A3"/>
    <w:rsid w:val="004D6C1E"/>
    <w:rsid w:val="004D6F8B"/>
    <w:rsid w:val="004D755B"/>
    <w:rsid w:val="004E0701"/>
    <w:rsid w:val="004E148B"/>
    <w:rsid w:val="004E15A5"/>
    <w:rsid w:val="004E1AEE"/>
    <w:rsid w:val="004E2F90"/>
    <w:rsid w:val="004E3DDE"/>
    <w:rsid w:val="004E4479"/>
    <w:rsid w:val="004E46C5"/>
    <w:rsid w:val="004E485F"/>
    <w:rsid w:val="004E4E40"/>
    <w:rsid w:val="004E5677"/>
    <w:rsid w:val="004E686F"/>
    <w:rsid w:val="004E6E1E"/>
    <w:rsid w:val="004E6FF0"/>
    <w:rsid w:val="004E7C70"/>
    <w:rsid w:val="004E7ECC"/>
    <w:rsid w:val="004F0E83"/>
    <w:rsid w:val="004F16E7"/>
    <w:rsid w:val="004F214B"/>
    <w:rsid w:val="004F3B76"/>
    <w:rsid w:val="004F50BD"/>
    <w:rsid w:val="004F53B6"/>
    <w:rsid w:val="004F5BBB"/>
    <w:rsid w:val="004F62A9"/>
    <w:rsid w:val="004F671C"/>
    <w:rsid w:val="004F6DA0"/>
    <w:rsid w:val="004F7F65"/>
    <w:rsid w:val="00501B4A"/>
    <w:rsid w:val="00507BA3"/>
    <w:rsid w:val="00510C2D"/>
    <w:rsid w:val="00512218"/>
    <w:rsid w:val="005122FC"/>
    <w:rsid w:val="00512363"/>
    <w:rsid w:val="00512380"/>
    <w:rsid w:val="00513509"/>
    <w:rsid w:val="005140F8"/>
    <w:rsid w:val="005142A7"/>
    <w:rsid w:val="005142DA"/>
    <w:rsid w:val="00516A76"/>
    <w:rsid w:val="00516B19"/>
    <w:rsid w:val="00516BE9"/>
    <w:rsid w:val="00516DF7"/>
    <w:rsid w:val="00516EDE"/>
    <w:rsid w:val="00517113"/>
    <w:rsid w:val="0052007A"/>
    <w:rsid w:val="005203CF"/>
    <w:rsid w:val="00521135"/>
    <w:rsid w:val="005228F8"/>
    <w:rsid w:val="00522FE5"/>
    <w:rsid w:val="005233F5"/>
    <w:rsid w:val="00523942"/>
    <w:rsid w:val="00524CAA"/>
    <w:rsid w:val="00526BB5"/>
    <w:rsid w:val="00527287"/>
    <w:rsid w:val="00530121"/>
    <w:rsid w:val="00530F7E"/>
    <w:rsid w:val="0053103A"/>
    <w:rsid w:val="00531A77"/>
    <w:rsid w:val="00531D33"/>
    <w:rsid w:val="00532242"/>
    <w:rsid w:val="0053240E"/>
    <w:rsid w:val="0053362E"/>
    <w:rsid w:val="005340A7"/>
    <w:rsid w:val="0053421E"/>
    <w:rsid w:val="00534FB2"/>
    <w:rsid w:val="00535663"/>
    <w:rsid w:val="00535AEF"/>
    <w:rsid w:val="00535FAD"/>
    <w:rsid w:val="00537E91"/>
    <w:rsid w:val="00537EA1"/>
    <w:rsid w:val="00540D54"/>
    <w:rsid w:val="00540F1B"/>
    <w:rsid w:val="0054265E"/>
    <w:rsid w:val="005426AA"/>
    <w:rsid w:val="005426C0"/>
    <w:rsid w:val="00542885"/>
    <w:rsid w:val="0054316E"/>
    <w:rsid w:val="0054331A"/>
    <w:rsid w:val="00544FB0"/>
    <w:rsid w:val="005450EC"/>
    <w:rsid w:val="005464C0"/>
    <w:rsid w:val="00546566"/>
    <w:rsid w:val="0054685F"/>
    <w:rsid w:val="005472CE"/>
    <w:rsid w:val="00550B5E"/>
    <w:rsid w:val="00551326"/>
    <w:rsid w:val="00551334"/>
    <w:rsid w:val="005518FA"/>
    <w:rsid w:val="005523C6"/>
    <w:rsid w:val="005531AF"/>
    <w:rsid w:val="00554249"/>
    <w:rsid w:val="0055475B"/>
    <w:rsid w:val="00554B28"/>
    <w:rsid w:val="00554C60"/>
    <w:rsid w:val="00554E02"/>
    <w:rsid w:val="00555F19"/>
    <w:rsid w:val="00556953"/>
    <w:rsid w:val="00556986"/>
    <w:rsid w:val="0055730E"/>
    <w:rsid w:val="00560D72"/>
    <w:rsid w:val="0056178A"/>
    <w:rsid w:val="005624C1"/>
    <w:rsid w:val="00562953"/>
    <w:rsid w:val="00563036"/>
    <w:rsid w:val="00563786"/>
    <w:rsid w:val="0056387B"/>
    <w:rsid w:val="00563A6A"/>
    <w:rsid w:val="005641BC"/>
    <w:rsid w:val="005644BD"/>
    <w:rsid w:val="00565C02"/>
    <w:rsid w:val="00565C50"/>
    <w:rsid w:val="00566DF8"/>
    <w:rsid w:val="005673A4"/>
    <w:rsid w:val="005712AF"/>
    <w:rsid w:val="005718F6"/>
    <w:rsid w:val="005728EF"/>
    <w:rsid w:val="00572CA8"/>
    <w:rsid w:val="0057309E"/>
    <w:rsid w:val="00573B27"/>
    <w:rsid w:val="005741EA"/>
    <w:rsid w:val="0057457D"/>
    <w:rsid w:val="00574926"/>
    <w:rsid w:val="0057495C"/>
    <w:rsid w:val="005759BA"/>
    <w:rsid w:val="00575CAA"/>
    <w:rsid w:val="00576329"/>
    <w:rsid w:val="00577575"/>
    <w:rsid w:val="005775E7"/>
    <w:rsid w:val="00577812"/>
    <w:rsid w:val="005804DE"/>
    <w:rsid w:val="00580734"/>
    <w:rsid w:val="00581B51"/>
    <w:rsid w:val="0058201C"/>
    <w:rsid w:val="0058291F"/>
    <w:rsid w:val="00582A6E"/>
    <w:rsid w:val="00584063"/>
    <w:rsid w:val="0058460D"/>
    <w:rsid w:val="005853D1"/>
    <w:rsid w:val="00585461"/>
    <w:rsid w:val="005857F3"/>
    <w:rsid w:val="00586198"/>
    <w:rsid w:val="005870F8"/>
    <w:rsid w:val="00587C50"/>
    <w:rsid w:val="0059141D"/>
    <w:rsid w:val="005918C6"/>
    <w:rsid w:val="00591B6A"/>
    <w:rsid w:val="00591D16"/>
    <w:rsid w:val="0059217A"/>
    <w:rsid w:val="005924D0"/>
    <w:rsid w:val="00592DD0"/>
    <w:rsid w:val="00593C6C"/>
    <w:rsid w:val="00595819"/>
    <w:rsid w:val="00595B72"/>
    <w:rsid w:val="00595BC0"/>
    <w:rsid w:val="00596155"/>
    <w:rsid w:val="005965FF"/>
    <w:rsid w:val="00596607"/>
    <w:rsid w:val="00596888"/>
    <w:rsid w:val="00596D93"/>
    <w:rsid w:val="00596FF6"/>
    <w:rsid w:val="00597388"/>
    <w:rsid w:val="00597582"/>
    <w:rsid w:val="00597754"/>
    <w:rsid w:val="005A011B"/>
    <w:rsid w:val="005A1F4D"/>
    <w:rsid w:val="005A2755"/>
    <w:rsid w:val="005A44E0"/>
    <w:rsid w:val="005A4819"/>
    <w:rsid w:val="005A53B8"/>
    <w:rsid w:val="005A61ED"/>
    <w:rsid w:val="005A649F"/>
    <w:rsid w:val="005A7B18"/>
    <w:rsid w:val="005B0DE4"/>
    <w:rsid w:val="005B0E81"/>
    <w:rsid w:val="005B17FE"/>
    <w:rsid w:val="005B1C8E"/>
    <w:rsid w:val="005B2128"/>
    <w:rsid w:val="005B2F3E"/>
    <w:rsid w:val="005B48BC"/>
    <w:rsid w:val="005B6799"/>
    <w:rsid w:val="005B6A4B"/>
    <w:rsid w:val="005B7036"/>
    <w:rsid w:val="005C01E0"/>
    <w:rsid w:val="005C1587"/>
    <w:rsid w:val="005C345E"/>
    <w:rsid w:val="005C40DC"/>
    <w:rsid w:val="005C462D"/>
    <w:rsid w:val="005C63FA"/>
    <w:rsid w:val="005C7AF7"/>
    <w:rsid w:val="005D1B62"/>
    <w:rsid w:val="005D2908"/>
    <w:rsid w:val="005D2B36"/>
    <w:rsid w:val="005D3B78"/>
    <w:rsid w:val="005D4D23"/>
    <w:rsid w:val="005D5BEC"/>
    <w:rsid w:val="005D5F98"/>
    <w:rsid w:val="005D630A"/>
    <w:rsid w:val="005D755B"/>
    <w:rsid w:val="005D7B62"/>
    <w:rsid w:val="005D7FC0"/>
    <w:rsid w:val="005E07B4"/>
    <w:rsid w:val="005E0E0F"/>
    <w:rsid w:val="005E3464"/>
    <w:rsid w:val="005E4245"/>
    <w:rsid w:val="005E4369"/>
    <w:rsid w:val="005E68C1"/>
    <w:rsid w:val="005E7829"/>
    <w:rsid w:val="005E7EC7"/>
    <w:rsid w:val="005F01E2"/>
    <w:rsid w:val="005F02B1"/>
    <w:rsid w:val="005F0B9C"/>
    <w:rsid w:val="005F18F4"/>
    <w:rsid w:val="005F3748"/>
    <w:rsid w:val="005F3A93"/>
    <w:rsid w:val="005F3B4D"/>
    <w:rsid w:val="005F3BF4"/>
    <w:rsid w:val="005F5169"/>
    <w:rsid w:val="005F6F5C"/>
    <w:rsid w:val="00600D3C"/>
    <w:rsid w:val="00601CC7"/>
    <w:rsid w:val="00602EB1"/>
    <w:rsid w:val="00603212"/>
    <w:rsid w:val="0060333C"/>
    <w:rsid w:val="00603772"/>
    <w:rsid w:val="00603A79"/>
    <w:rsid w:val="006051F4"/>
    <w:rsid w:val="00605E64"/>
    <w:rsid w:val="006065B0"/>
    <w:rsid w:val="006077A3"/>
    <w:rsid w:val="0061059F"/>
    <w:rsid w:val="00610C0F"/>
    <w:rsid w:val="00610E2E"/>
    <w:rsid w:val="006110B8"/>
    <w:rsid w:val="00612E06"/>
    <w:rsid w:val="00613486"/>
    <w:rsid w:val="00613DD8"/>
    <w:rsid w:val="00614054"/>
    <w:rsid w:val="00614587"/>
    <w:rsid w:val="00614833"/>
    <w:rsid w:val="0061588E"/>
    <w:rsid w:val="00615AE4"/>
    <w:rsid w:val="00615D39"/>
    <w:rsid w:val="00615E1E"/>
    <w:rsid w:val="00616019"/>
    <w:rsid w:val="006169A0"/>
    <w:rsid w:val="006172D2"/>
    <w:rsid w:val="00617408"/>
    <w:rsid w:val="00617585"/>
    <w:rsid w:val="006178DE"/>
    <w:rsid w:val="006202D7"/>
    <w:rsid w:val="00620839"/>
    <w:rsid w:val="00620CCA"/>
    <w:rsid w:val="00620FA0"/>
    <w:rsid w:val="006218EB"/>
    <w:rsid w:val="00621F2A"/>
    <w:rsid w:val="006224D7"/>
    <w:rsid w:val="00623B06"/>
    <w:rsid w:val="00631BF1"/>
    <w:rsid w:val="00631D65"/>
    <w:rsid w:val="00633A5E"/>
    <w:rsid w:val="00633C88"/>
    <w:rsid w:val="00633DED"/>
    <w:rsid w:val="006345C0"/>
    <w:rsid w:val="0063485B"/>
    <w:rsid w:val="00635141"/>
    <w:rsid w:val="0063544C"/>
    <w:rsid w:val="006357C5"/>
    <w:rsid w:val="006360A1"/>
    <w:rsid w:val="0063648D"/>
    <w:rsid w:val="00637540"/>
    <w:rsid w:val="00643F53"/>
    <w:rsid w:val="00644097"/>
    <w:rsid w:val="006442FD"/>
    <w:rsid w:val="00645322"/>
    <w:rsid w:val="00645E2A"/>
    <w:rsid w:val="00645E52"/>
    <w:rsid w:val="0064669E"/>
    <w:rsid w:val="00646AC2"/>
    <w:rsid w:val="00647986"/>
    <w:rsid w:val="00651041"/>
    <w:rsid w:val="0065263F"/>
    <w:rsid w:val="00652BBC"/>
    <w:rsid w:val="006530E7"/>
    <w:rsid w:val="00654014"/>
    <w:rsid w:val="00654E96"/>
    <w:rsid w:val="0065538B"/>
    <w:rsid w:val="006554D5"/>
    <w:rsid w:val="006557D8"/>
    <w:rsid w:val="0065651D"/>
    <w:rsid w:val="006566EA"/>
    <w:rsid w:val="006568F2"/>
    <w:rsid w:val="00656F42"/>
    <w:rsid w:val="00656F6A"/>
    <w:rsid w:val="0066034B"/>
    <w:rsid w:val="00663013"/>
    <w:rsid w:val="006635AB"/>
    <w:rsid w:val="0066367E"/>
    <w:rsid w:val="00663917"/>
    <w:rsid w:val="00664A83"/>
    <w:rsid w:val="00664B3C"/>
    <w:rsid w:val="00665C5D"/>
    <w:rsid w:val="00665CAD"/>
    <w:rsid w:val="00665D53"/>
    <w:rsid w:val="00665E10"/>
    <w:rsid w:val="00665EE5"/>
    <w:rsid w:val="0066634D"/>
    <w:rsid w:val="0066790F"/>
    <w:rsid w:val="006700DC"/>
    <w:rsid w:val="006707BE"/>
    <w:rsid w:val="00672E14"/>
    <w:rsid w:val="00674F6D"/>
    <w:rsid w:val="00675657"/>
    <w:rsid w:val="00675671"/>
    <w:rsid w:val="00675736"/>
    <w:rsid w:val="0067581B"/>
    <w:rsid w:val="0067706A"/>
    <w:rsid w:val="00677129"/>
    <w:rsid w:val="00677C5C"/>
    <w:rsid w:val="0068047F"/>
    <w:rsid w:val="006808C4"/>
    <w:rsid w:val="00681718"/>
    <w:rsid w:val="00681931"/>
    <w:rsid w:val="00682584"/>
    <w:rsid w:val="006825E6"/>
    <w:rsid w:val="00683425"/>
    <w:rsid w:val="006837BF"/>
    <w:rsid w:val="0068418F"/>
    <w:rsid w:val="00684B0F"/>
    <w:rsid w:val="00686D25"/>
    <w:rsid w:val="00686DF4"/>
    <w:rsid w:val="00687454"/>
    <w:rsid w:val="006905B2"/>
    <w:rsid w:val="0069066A"/>
    <w:rsid w:val="00690865"/>
    <w:rsid w:val="00690CA3"/>
    <w:rsid w:val="00690E4B"/>
    <w:rsid w:val="00690F04"/>
    <w:rsid w:val="0069314F"/>
    <w:rsid w:val="00693262"/>
    <w:rsid w:val="00693512"/>
    <w:rsid w:val="006947E1"/>
    <w:rsid w:val="0069522A"/>
    <w:rsid w:val="006955AF"/>
    <w:rsid w:val="00696DA8"/>
    <w:rsid w:val="00696DDB"/>
    <w:rsid w:val="00696E49"/>
    <w:rsid w:val="00697167"/>
    <w:rsid w:val="00697535"/>
    <w:rsid w:val="0069757E"/>
    <w:rsid w:val="006979E8"/>
    <w:rsid w:val="006A00F0"/>
    <w:rsid w:val="006A03B9"/>
    <w:rsid w:val="006A0D45"/>
    <w:rsid w:val="006A142F"/>
    <w:rsid w:val="006A158C"/>
    <w:rsid w:val="006A20E5"/>
    <w:rsid w:val="006A21B6"/>
    <w:rsid w:val="006A2402"/>
    <w:rsid w:val="006A3E95"/>
    <w:rsid w:val="006A486B"/>
    <w:rsid w:val="006A4AA9"/>
    <w:rsid w:val="006A4DB2"/>
    <w:rsid w:val="006A5B80"/>
    <w:rsid w:val="006A6226"/>
    <w:rsid w:val="006A6950"/>
    <w:rsid w:val="006A7B38"/>
    <w:rsid w:val="006A7F03"/>
    <w:rsid w:val="006B11D2"/>
    <w:rsid w:val="006B132E"/>
    <w:rsid w:val="006B1447"/>
    <w:rsid w:val="006B1AAD"/>
    <w:rsid w:val="006B1B88"/>
    <w:rsid w:val="006B2805"/>
    <w:rsid w:val="006B2A76"/>
    <w:rsid w:val="006B322A"/>
    <w:rsid w:val="006B3C73"/>
    <w:rsid w:val="006B40D6"/>
    <w:rsid w:val="006B4195"/>
    <w:rsid w:val="006B4521"/>
    <w:rsid w:val="006B47A1"/>
    <w:rsid w:val="006B4892"/>
    <w:rsid w:val="006B4B30"/>
    <w:rsid w:val="006B63DA"/>
    <w:rsid w:val="006B72C4"/>
    <w:rsid w:val="006B75EE"/>
    <w:rsid w:val="006B761C"/>
    <w:rsid w:val="006B7E14"/>
    <w:rsid w:val="006B7FDA"/>
    <w:rsid w:val="006C183E"/>
    <w:rsid w:val="006C2AB1"/>
    <w:rsid w:val="006C36C7"/>
    <w:rsid w:val="006C3BD5"/>
    <w:rsid w:val="006C43D8"/>
    <w:rsid w:val="006C5F6A"/>
    <w:rsid w:val="006C7BF9"/>
    <w:rsid w:val="006D1045"/>
    <w:rsid w:val="006D2470"/>
    <w:rsid w:val="006D30FE"/>
    <w:rsid w:val="006D34E8"/>
    <w:rsid w:val="006D60CE"/>
    <w:rsid w:val="006E0397"/>
    <w:rsid w:val="006E07F7"/>
    <w:rsid w:val="006E0CB2"/>
    <w:rsid w:val="006E1474"/>
    <w:rsid w:val="006E3925"/>
    <w:rsid w:val="006E39F8"/>
    <w:rsid w:val="006E3ADC"/>
    <w:rsid w:val="006E43D0"/>
    <w:rsid w:val="006E453C"/>
    <w:rsid w:val="006E4C52"/>
    <w:rsid w:val="006E5098"/>
    <w:rsid w:val="006E7248"/>
    <w:rsid w:val="006E73C0"/>
    <w:rsid w:val="006F12AB"/>
    <w:rsid w:val="006F1B0C"/>
    <w:rsid w:val="006F24EF"/>
    <w:rsid w:val="006F252F"/>
    <w:rsid w:val="006F2BF9"/>
    <w:rsid w:val="006F342A"/>
    <w:rsid w:val="006F343B"/>
    <w:rsid w:val="006F3C57"/>
    <w:rsid w:val="006F4362"/>
    <w:rsid w:val="006F78E4"/>
    <w:rsid w:val="006F7F13"/>
    <w:rsid w:val="0070031B"/>
    <w:rsid w:val="007019D2"/>
    <w:rsid w:val="007032BA"/>
    <w:rsid w:val="007039B0"/>
    <w:rsid w:val="00705A35"/>
    <w:rsid w:val="00705B6B"/>
    <w:rsid w:val="0070658B"/>
    <w:rsid w:val="00706F40"/>
    <w:rsid w:val="00710905"/>
    <w:rsid w:val="00710FE7"/>
    <w:rsid w:val="0071125B"/>
    <w:rsid w:val="00711746"/>
    <w:rsid w:val="00711BF8"/>
    <w:rsid w:val="00712F7A"/>
    <w:rsid w:val="00713625"/>
    <w:rsid w:val="00713BD2"/>
    <w:rsid w:val="0071488A"/>
    <w:rsid w:val="0071611D"/>
    <w:rsid w:val="007165A6"/>
    <w:rsid w:val="00717E7A"/>
    <w:rsid w:val="00721C9A"/>
    <w:rsid w:val="00722299"/>
    <w:rsid w:val="00722456"/>
    <w:rsid w:val="007227EB"/>
    <w:rsid w:val="00723B6D"/>
    <w:rsid w:val="00723FE6"/>
    <w:rsid w:val="00724A8F"/>
    <w:rsid w:val="00725270"/>
    <w:rsid w:val="00725808"/>
    <w:rsid w:val="00725C08"/>
    <w:rsid w:val="0072651E"/>
    <w:rsid w:val="0072661C"/>
    <w:rsid w:val="00726A01"/>
    <w:rsid w:val="00727655"/>
    <w:rsid w:val="007277D2"/>
    <w:rsid w:val="00727B0B"/>
    <w:rsid w:val="00730AE0"/>
    <w:rsid w:val="00732C6C"/>
    <w:rsid w:val="00732CD8"/>
    <w:rsid w:val="00732D3B"/>
    <w:rsid w:val="00734011"/>
    <w:rsid w:val="00734639"/>
    <w:rsid w:val="00734CD9"/>
    <w:rsid w:val="00735AA4"/>
    <w:rsid w:val="00736B6A"/>
    <w:rsid w:val="00737562"/>
    <w:rsid w:val="007400E1"/>
    <w:rsid w:val="007403F3"/>
    <w:rsid w:val="007403FB"/>
    <w:rsid w:val="00741783"/>
    <w:rsid w:val="00742446"/>
    <w:rsid w:val="00743202"/>
    <w:rsid w:val="007439EC"/>
    <w:rsid w:val="007443A1"/>
    <w:rsid w:val="00744C19"/>
    <w:rsid w:val="00744C62"/>
    <w:rsid w:val="00744DB1"/>
    <w:rsid w:val="00746511"/>
    <w:rsid w:val="007468C2"/>
    <w:rsid w:val="00746A9E"/>
    <w:rsid w:val="0074709C"/>
    <w:rsid w:val="0074725D"/>
    <w:rsid w:val="00751248"/>
    <w:rsid w:val="007513E8"/>
    <w:rsid w:val="00751A7F"/>
    <w:rsid w:val="00751B6B"/>
    <w:rsid w:val="00751F81"/>
    <w:rsid w:val="0075358A"/>
    <w:rsid w:val="00753852"/>
    <w:rsid w:val="0075493B"/>
    <w:rsid w:val="00755810"/>
    <w:rsid w:val="00756144"/>
    <w:rsid w:val="00756262"/>
    <w:rsid w:val="00756629"/>
    <w:rsid w:val="00757B7E"/>
    <w:rsid w:val="00757EDE"/>
    <w:rsid w:val="007609BF"/>
    <w:rsid w:val="007613B3"/>
    <w:rsid w:val="007613CB"/>
    <w:rsid w:val="0076186C"/>
    <w:rsid w:val="007619B8"/>
    <w:rsid w:val="00761C7B"/>
    <w:rsid w:val="007623F7"/>
    <w:rsid w:val="007624A7"/>
    <w:rsid w:val="00762A96"/>
    <w:rsid w:val="00762D79"/>
    <w:rsid w:val="0076419E"/>
    <w:rsid w:val="0076433C"/>
    <w:rsid w:val="007649EA"/>
    <w:rsid w:val="00764FD5"/>
    <w:rsid w:val="00765007"/>
    <w:rsid w:val="00766618"/>
    <w:rsid w:val="00770856"/>
    <w:rsid w:val="00771337"/>
    <w:rsid w:val="00771B9D"/>
    <w:rsid w:val="007722B7"/>
    <w:rsid w:val="00772EF2"/>
    <w:rsid w:val="00772F59"/>
    <w:rsid w:val="00773CC9"/>
    <w:rsid w:val="00773E10"/>
    <w:rsid w:val="0077401D"/>
    <w:rsid w:val="00774504"/>
    <w:rsid w:val="00774881"/>
    <w:rsid w:val="00776F68"/>
    <w:rsid w:val="00777B83"/>
    <w:rsid w:val="007802E0"/>
    <w:rsid w:val="007805EC"/>
    <w:rsid w:val="00780B82"/>
    <w:rsid w:val="00780C77"/>
    <w:rsid w:val="00782153"/>
    <w:rsid w:val="00782580"/>
    <w:rsid w:val="00782904"/>
    <w:rsid w:val="007829D3"/>
    <w:rsid w:val="00782BC6"/>
    <w:rsid w:val="00782D9B"/>
    <w:rsid w:val="00782F77"/>
    <w:rsid w:val="007831B2"/>
    <w:rsid w:val="00783248"/>
    <w:rsid w:val="00783796"/>
    <w:rsid w:val="00785119"/>
    <w:rsid w:val="00785526"/>
    <w:rsid w:val="007858A8"/>
    <w:rsid w:val="00785978"/>
    <w:rsid w:val="00786F7E"/>
    <w:rsid w:val="00787389"/>
    <w:rsid w:val="0078743C"/>
    <w:rsid w:val="00787FD3"/>
    <w:rsid w:val="00790D78"/>
    <w:rsid w:val="00791637"/>
    <w:rsid w:val="00792206"/>
    <w:rsid w:val="0079231C"/>
    <w:rsid w:val="007932BF"/>
    <w:rsid w:val="00793C8D"/>
    <w:rsid w:val="00793EC4"/>
    <w:rsid w:val="00793F9D"/>
    <w:rsid w:val="00794778"/>
    <w:rsid w:val="00794BE9"/>
    <w:rsid w:val="00794DCB"/>
    <w:rsid w:val="00794E47"/>
    <w:rsid w:val="0079504C"/>
    <w:rsid w:val="00795348"/>
    <w:rsid w:val="007958D9"/>
    <w:rsid w:val="007962EB"/>
    <w:rsid w:val="0079740E"/>
    <w:rsid w:val="00797AA8"/>
    <w:rsid w:val="007A0988"/>
    <w:rsid w:val="007A0CBE"/>
    <w:rsid w:val="007A11DF"/>
    <w:rsid w:val="007A13AD"/>
    <w:rsid w:val="007A1EBC"/>
    <w:rsid w:val="007A3A6E"/>
    <w:rsid w:val="007A4976"/>
    <w:rsid w:val="007A4F58"/>
    <w:rsid w:val="007A5A0D"/>
    <w:rsid w:val="007A5A88"/>
    <w:rsid w:val="007A6D3E"/>
    <w:rsid w:val="007A787C"/>
    <w:rsid w:val="007A7ED1"/>
    <w:rsid w:val="007B034D"/>
    <w:rsid w:val="007B06C8"/>
    <w:rsid w:val="007B0838"/>
    <w:rsid w:val="007B21FC"/>
    <w:rsid w:val="007B2305"/>
    <w:rsid w:val="007B25A4"/>
    <w:rsid w:val="007B274E"/>
    <w:rsid w:val="007B2D7E"/>
    <w:rsid w:val="007B3916"/>
    <w:rsid w:val="007B3948"/>
    <w:rsid w:val="007B3B93"/>
    <w:rsid w:val="007B3CCB"/>
    <w:rsid w:val="007B3CF0"/>
    <w:rsid w:val="007B4113"/>
    <w:rsid w:val="007B4223"/>
    <w:rsid w:val="007B48B9"/>
    <w:rsid w:val="007B4A42"/>
    <w:rsid w:val="007B4EAD"/>
    <w:rsid w:val="007B51FA"/>
    <w:rsid w:val="007B5B1C"/>
    <w:rsid w:val="007B7B83"/>
    <w:rsid w:val="007C01CD"/>
    <w:rsid w:val="007C05B4"/>
    <w:rsid w:val="007C1421"/>
    <w:rsid w:val="007C1862"/>
    <w:rsid w:val="007C188B"/>
    <w:rsid w:val="007C1B96"/>
    <w:rsid w:val="007C2C2F"/>
    <w:rsid w:val="007C3908"/>
    <w:rsid w:val="007C46FA"/>
    <w:rsid w:val="007C5479"/>
    <w:rsid w:val="007C55D5"/>
    <w:rsid w:val="007C5774"/>
    <w:rsid w:val="007C57B4"/>
    <w:rsid w:val="007C5B6F"/>
    <w:rsid w:val="007C6EEC"/>
    <w:rsid w:val="007C7072"/>
    <w:rsid w:val="007C7174"/>
    <w:rsid w:val="007C737C"/>
    <w:rsid w:val="007C7BE1"/>
    <w:rsid w:val="007D00F5"/>
    <w:rsid w:val="007D1147"/>
    <w:rsid w:val="007D1187"/>
    <w:rsid w:val="007D13FA"/>
    <w:rsid w:val="007D24CA"/>
    <w:rsid w:val="007D2797"/>
    <w:rsid w:val="007D6EA2"/>
    <w:rsid w:val="007D70BE"/>
    <w:rsid w:val="007D7667"/>
    <w:rsid w:val="007E0115"/>
    <w:rsid w:val="007E0DBB"/>
    <w:rsid w:val="007E22C4"/>
    <w:rsid w:val="007E26D3"/>
    <w:rsid w:val="007E2799"/>
    <w:rsid w:val="007E28AC"/>
    <w:rsid w:val="007E3211"/>
    <w:rsid w:val="007E33BF"/>
    <w:rsid w:val="007E3682"/>
    <w:rsid w:val="007E396A"/>
    <w:rsid w:val="007E3BD2"/>
    <w:rsid w:val="007E3C23"/>
    <w:rsid w:val="007E3CF1"/>
    <w:rsid w:val="007E418C"/>
    <w:rsid w:val="007E4FBA"/>
    <w:rsid w:val="007E5B26"/>
    <w:rsid w:val="007E5B75"/>
    <w:rsid w:val="007E5B8E"/>
    <w:rsid w:val="007E5EFA"/>
    <w:rsid w:val="007E634D"/>
    <w:rsid w:val="007E71BF"/>
    <w:rsid w:val="007E71E5"/>
    <w:rsid w:val="007E7BF3"/>
    <w:rsid w:val="007F0862"/>
    <w:rsid w:val="007F0E58"/>
    <w:rsid w:val="007F1D47"/>
    <w:rsid w:val="007F1D63"/>
    <w:rsid w:val="007F30AF"/>
    <w:rsid w:val="007F359A"/>
    <w:rsid w:val="007F3E26"/>
    <w:rsid w:val="007F501F"/>
    <w:rsid w:val="007F55DF"/>
    <w:rsid w:val="007F5953"/>
    <w:rsid w:val="007F5AF4"/>
    <w:rsid w:val="007F5FC1"/>
    <w:rsid w:val="007F6409"/>
    <w:rsid w:val="007F7697"/>
    <w:rsid w:val="007F780F"/>
    <w:rsid w:val="007F7898"/>
    <w:rsid w:val="007F7A35"/>
    <w:rsid w:val="007F7F4F"/>
    <w:rsid w:val="0080132A"/>
    <w:rsid w:val="00801472"/>
    <w:rsid w:val="00801708"/>
    <w:rsid w:val="00801DF7"/>
    <w:rsid w:val="008020F8"/>
    <w:rsid w:val="008027D8"/>
    <w:rsid w:val="00802D2F"/>
    <w:rsid w:val="0080309A"/>
    <w:rsid w:val="008030B0"/>
    <w:rsid w:val="008033CD"/>
    <w:rsid w:val="008053DD"/>
    <w:rsid w:val="00805775"/>
    <w:rsid w:val="00806053"/>
    <w:rsid w:val="0080640C"/>
    <w:rsid w:val="00807624"/>
    <w:rsid w:val="008076CE"/>
    <w:rsid w:val="00810187"/>
    <w:rsid w:val="00811165"/>
    <w:rsid w:val="00812470"/>
    <w:rsid w:val="008127CC"/>
    <w:rsid w:val="00812983"/>
    <w:rsid w:val="00812B10"/>
    <w:rsid w:val="00812EAA"/>
    <w:rsid w:val="00813275"/>
    <w:rsid w:val="0081394D"/>
    <w:rsid w:val="00814838"/>
    <w:rsid w:val="00814EE3"/>
    <w:rsid w:val="008158CF"/>
    <w:rsid w:val="00816538"/>
    <w:rsid w:val="008169F2"/>
    <w:rsid w:val="00816E71"/>
    <w:rsid w:val="00817616"/>
    <w:rsid w:val="0082113A"/>
    <w:rsid w:val="008219F5"/>
    <w:rsid w:val="00821B79"/>
    <w:rsid w:val="00822FEE"/>
    <w:rsid w:val="008234A9"/>
    <w:rsid w:val="00823AB0"/>
    <w:rsid w:val="00824E9C"/>
    <w:rsid w:val="008258B8"/>
    <w:rsid w:val="00826E97"/>
    <w:rsid w:val="008302CC"/>
    <w:rsid w:val="0083078F"/>
    <w:rsid w:val="008312E8"/>
    <w:rsid w:val="00831D3A"/>
    <w:rsid w:val="00833BB6"/>
    <w:rsid w:val="00833C45"/>
    <w:rsid w:val="00834AA0"/>
    <w:rsid w:val="00834C06"/>
    <w:rsid w:val="00834F39"/>
    <w:rsid w:val="0083517F"/>
    <w:rsid w:val="00836009"/>
    <w:rsid w:val="008360BB"/>
    <w:rsid w:val="00836BB2"/>
    <w:rsid w:val="00837495"/>
    <w:rsid w:val="0084035F"/>
    <w:rsid w:val="00841552"/>
    <w:rsid w:val="008420F4"/>
    <w:rsid w:val="0084220D"/>
    <w:rsid w:val="0084290C"/>
    <w:rsid w:val="00842CF4"/>
    <w:rsid w:val="00843999"/>
    <w:rsid w:val="00843C9D"/>
    <w:rsid w:val="00843EDD"/>
    <w:rsid w:val="008450A9"/>
    <w:rsid w:val="00845359"/>
    <w:rsid w:val="00845BEB"/>
    <w:rsid w:val="00845F30"/>
    <w:rsid w:val="00846934"/>
    <w:rsid w:val="00846E8D"/>
    <w:rsid w:val="00847D3F"/>
    <w:rsid w:val="008501D2"/>
    <w:rsid w:val="0085046D"/>
    <w:rsid w:val="008540A7"/>
    <w:rsid w:val="008554C8"/>
    <w:rsid w:val="00855F04"/>
    <w:rsid w:val="008561DC"/>
    <w:rsid w:val="0085666F"/>
    <w:rsid w:val="00856678"/>
    <w:rsid w:val="00857437"/>
    <w:rsid w:val="0085744B"/>
    <w:rsid w:val="00860496"/>
    <w:rsid w:val="00860623"/>
    <w:rsid w:val="0086078C"/>
    <w:rsid w:val="00860916"/>
    <w:rsid w:val="00860F8E"/>
    <w:rsid w:val="0086105F"/>
    <w:rsid w:val="008615FE"/>
    <w:rsid w:val="00862173"/>
    <w:rsid w:val="0086296C"/>
    <w:rsid w:val="00862B40"/>
    <w:rsid w:val="00862F34"/>
    <w:rsid w:val="008630E2"/>
    <w:rsid w:val="0086323A"/>
    <w:rsid w:val="00863B2D"/>
    <w:rsid w:val="00863D9A"/>
    <w:rsid w:val="00865DF2"/>
    <w:rsid w:val="00866379"/>
    <w:rsid w:val="0086669A"/>
    <w:rsid w:val="00867158"/>
    <w:rsid w:val="00867254"/>
    <w:rsid w:val="008673DF"/>
    <w:rsid w:val="00870D49"/>
    <w:rsid w:val="0087116D"/>
    <w:rsid w:val="008713A0"/>
    <w:rsid w:val="00871866"/>
    <w:rsid w:val="00871E0E"/>
    <w:rsid w:val="0087219E"/>
    <w:rsid w:val="008733F7"/>
    <w:rsid w:val="00873857"/>
    <w:rsid w:val="00874BCD"/>
    <w:rsid w:val="00875655"/>
    <w:rsid w:val="00875B0B"/>
    <w:rsid w:val="00875B4A"/>
    <w:rsid w:val="00876FB1"/>
    <w:rsid w:val="00877331"/>
    <w:rsid w:val="00881139"/>
    <w:rsid w:val="00881C03"/>
    <w:rsid w:val="008834CA"/>
    <w:rsid w:val="00885137"/>
    <w:rsid w:val="0088554F"/>
    <w:rsid w:val="00885D86"/>
    <w:rsid w:val="008863BE"/>
    <w:rsid w:val="00886888"/>
    <w:rsid w:val="00886E15"/>
    <w:rsid w:val="00890FE1"/>
    <w:rsid w:val="008911E7"/>
    <w:rsid w:val="008913FE"/>
    <w:rsid w:val="008915AF"/>
    <w:rsid w:val="00891BDA"/>
    <w:rsid w:val="00892634"/>
    <w:rsid w:val="00893794"/>
    <w:rsid w:val="0089444A"/>
    <w:rsid w:val="00895830"/>
    <w:rsid w:val="00896664"/>
    <w:rsid w:val="0089678D"/>
    <w:rsid w:val="008A02FB"/>
    <w:rsid w:val="008A0843"/>
    <w:rsid w:val="008A10BC"/>
    <w:rsid w:val="008A1884"/>
    <w:rsid w:val="008A197D"/>
    <w:rsid w:val="008A1E62"/>
    <w:rsid w:val="008A21FD"/>
    <w:rsid w:val="008A3079"/>
    <w:rsid w:val="008A4012"/>
    <w:rsid w:val="008A421C"/>
    <w:rsid w:val="008A4F79"/>
    <w:rsid w:val="008A578B"/>
    <w:rsid w:val="008A6082"/>
    <w:rsid w:val="008A64A5"/>
    <w:rsid w:val="008A660A"/>
    <w:rsid w:val="008A6C7B"/>
    <w:rsid w:val="008B17C3"/>
    <w:rsid w:val="008B291F"/>
    <w:rsid w:val="008B2A62"/>
    <w:rsid w:val="008B2F33"/>
    <w:rsid w:val="008B3031"/>
    <w:rsid w:val="008B3B4A"/>
    <w:rsid w:val="008B3C76"/>
    <w:rsid w:val="008B3CC9"/>
    <w:rsid w:val="008B4A10"/>
    <w:rsid w:val="008B56E9"/>
    <w:rsid w:val="008B5974"/>
    <w:rsid w:val="008B7759"/>
    <w:rsid w:val="008C0F25"/>
    <w:rsid w:val="008C1A6D"/>
    <w:rsid w:val="008C32D0"/>
    <w:rsid w:val="008C4B8A"/>
    <w:rsid w:val="008C5163"/>
    <w:rsid w:val="008C56CF"/>
    <w:rsid w:val="008D0244"/>
    <w:rsid w:val="008D13E6"/>
    <w:rsid w:val="008D15AE"/>
    <w:rsid w:val="008D17F1"/>
    <w:rsid w:val="008D195E"/>
    <w:rsid w:val="008D2069"/>
    <w:rsid w:val="008D2502"/>
    <w:rsid w:val="008D2FB0"/>
    <w:rsid w:val="008D44B1"/>
    <w:rsid w:val="008D49A0"/>
    <w:rsid w:val="008D5EA6"/>
    <w:rsid w:val="008D6306"/>
    <w:rsid w:val="008D7802"/>
    <w:rsid w:val="008E00E4"/>
    <w:rsid w:val="008E1156"/>
    <w:rsid w:val="008E1859"/>
    <w:rsid w:val="008E1A3F"/>
    <w:rsid w:val="008E20E2"/>
    <w:rsid w:val="008E2777"/>
    <w:rsid w:val="008E309B"/>
    <w:rsid w:val="008E3270"/>
    <w:rsid w:val="008E32CF"/>
    <w:rsid w:val="008E4C07"/>
    <w:rsid w:val="008E58B4"/>
    <w:rsid w:val="008E5AA1"/>
    <w:rsid w:val="008E5E9A"/>
    <w:rsid w:val="008E5F7E"/>
    <w:rsid w:val="008E6773"/>
    <w:rsid w:val="008E69C5"/>
    <w:rsid w:val="008E6A54"/>
    <w:rsid w:val="008E7020"/>
    <w:rsid w:val="008E7DCD"/>
    <w:rsid w:val="008F11ED"/>
    <w:rsid w:val="008F1457"/>
    <w:rsid w:val="008F2A03"/>
    <w:rsid w:val="008F2FBD"/>
    <w:rsid w:val="008F33A5"/>
    <w:rsid w:val="008F3653"/>
    <w:rsid w:val="008F3B6A"/>
    <w:rsid w:val="008F4B83"/>
    <w:rsid w:val="008F6842"/>
    <w:rsid w:val="00900AD0"/>
    <w:rsid w:val="009011B7"/>
    <w:rsid w:val="009012C5"/>
    <w:rsid w:val="00901783"/>
    <w:rsid w:val="00901BDF"/>
    <w:rsid w:val="0090322B"/>
    <w:rsid w:val="00903CB8"/>
    <w:rsid w:val="00903CF5"/>
    <w:rsid w:val="00904891"/>
    <w:rsid w:val="00905660"/>
    <w:rsid w:val="009101A3"/>
    <w:rsid w:val="00910A4F"/>
    <w:rsid w:val="00910CC2"/>
    <w:rsid w:val="00910E78"/>
    <w:rsid w:val="00910F44"/>
    <w:rsid w:val="00911A15"/>
    <w:rsid w:val="00911A36"/>
    <w:rsid w:val="00911D44"/>
    <w:rsid w:val="0091234F"/>
    <w:rsid w:val="009123B9"/>
    <w:rsid w:val="00913D52"/>
    <w:rsid w:val="00914053"/>
    <w:rsid w:val="00914A08"/>
    <w:rsid w:val="00914EB7"/>
    <w:rsid w:val="00915D95"/>
    <w:rsid w:val="00915EE7"/>
    <w:rsid w:val="00916675"/>
    <w:rsid w:val="00916BE3"/>
    <w:rsid w:val="00917C27"/>
    <w:rsid w:val="0092012F"/>
    <w:rsid w:val="00920D4E"/>
    <w:rsid w:val="00921EB9"/>
    <w:rsid w:val="00922AD6"/>
    <w:rsid w:val="0092343C"/>
    <w:rsid w:val="00923CFA"/>
    <w:rsid w:val="009241E3"/>
    <w:rsid w:val="0092422B"/>
    <w:rsid w:val="009249F9"/>
    <w:rsid w:val="009257D6"/>
    <w:rsid w:val="00926EFF"/>
    <w:rsid w:val="0092747B"/>
    <w:rsid w:val="009309A2"/>
    <w:rsid w:val="00930B33"/>
    <w:rsid w:val="00930DBE"/>
    <w:rsid w:val="00931C3D"/>
    <w:rsid w:val="00932172"/>
    <w:rsid w:val="0093259D"/>
    <w:rsid w:val="00932F78"/>
    <w:rsid w:val="00936C89"/>
    <w:rsid w:val="00940530"/>
    <w:rsid w:val="0094067A"/>
    <w:rsid w:val="00940799"/>
    <w:rsid w:val="00940D9E"/>
    <w:rsid w:val="009418C0"/>
    <w:rsid w:val="0094227D"/>
    <w:rsid w:val="00942D12"/>
    <w:rsid w:val="00942E78"/>
    <w:rsid w:val="00943FD9"/>
    <w:rsid w:val="00944F3B"/>
    <w:rsid w:val="009460C8"/>
    <w:rsid w:val="00946642"/>
    <w:rsid w:val="00946742"/>
    <w:rsid w:val="00946C90"/>
    <w:rsid w:val="00947EE3"/>
    <w:rsid w:val="00950211"/>
    <w:rsid w:val="009506A3"/>
    <w:rsid w:val="00950999"/>
    <w:rsid w:val="009509C8"/>
    <w:rsid w:val="00951460"/>
    <w:rsid w:val="009529B8"/>
    <w:rsid w:val="0095300A"/>
    <w:rsid w:val="009535FE"/>
    <w:rsid w:val="009544A5"/>
    <w:rsid w:val="0095469D"/>
    <w:rsid w:val="009547BC"/>
    <w:rsid w:val="009555D4"/>
    <w:rsid w:val="009560B9"/>
    <w:rsid w:val="009606C8"/>
    <w:rsid w:val="009608FE"/>
    <w:rsid w:val="0096125E"/>
    <w:rsid w:val="00961661"/>
    <w:rsid w:val="009616BC"/>
    <w:rsid w:val="00963166"/>
    <w:rsid w:val="00963BE0"/>
    <w:rsid w:val="00963E41"/>
    <w:rsid w:val="00963EDB"/>
    <w:rsid w:val="00965469"/>
    <w:rsid w:val="00965FBE"/>
    <w:rsid w:val="009673D8"/>
    <w:rsid w:val="00967D69"/>
    <w:rsid w:val="00970295"/>
    <w:rsid w:val="009705C3"/>
    <w:rsid w:val="009708C2"/>
    <w:rsid w:val="0097121E"/>
    <w:rsid w:val="009713C2"/>
    <w:rsid w:val="009722D2"/>
    <w:rsid w:val="009728E3"/>
    <w:rsid w:val="00973574"/>
    <w:rsid w:val="009739A2"/>
    <w:rsid w:val="00973B86"/>
    <w:rsid w:val="00973C8C"/>
    <w:rsid w:val="00974080"/>
    <w:rsid w:val="009745D6"/>
    <w:rsid w:val="00974FC1"/>
    <w:rsid w:val="0097579A"/>
    <w:rsid w:val="0097596A"/>
    <w:rsid w:val="00975C62"/>
    <w:rsid w:val="00975C7C"/>
    <w:rsid w:val="00976501"/>
    <w:rsid w:val="00976D60"/>
    <w:rsid w:val="00977168"/>
    <w:rsid w:val="009772C8"/>
    <w:rsid w:val="00977742"/>
    <w:rsid w:val="009803B9"/>
    <w:rsid w:val="00980BF8"/>
    <w:rsid w:val="00981F9C"/>
    <w:rsid w:val="00982350"/>
    <w:rsid w:val="00982B08"/>
    <w:rsid w:val="009835A0"/>
    <w:rsid w:val="00983753"/>
    <w:rsid w:val="00984E48"/>
    <w:rsid w:val="009855E6"/>
    <w:rsid w:val="00986EB1"/>
    <w:rsid w:val="00990C56"/>
    <w:rsid w:val="00991006"/>
    <w:rsid w:val="0099167B"/>
    <w:rsid w:val="00991B2C"/>
    <w:rsid w:val="009926B4"/>
    <w:rsid w:val="009926DC"/>
    <w:rsid w:val="00992B47"/>
    <w:rsid w:val="0099358A"/>
    <w:rsid w:val="00993AC6"/>
    <w:rsid w:val="00993EF8"/>
    <w:rsid w:val="00994B8E"/>
    <w:rsid w:val="00994C02"/>
    <w:rsid w:val="00994E05"/>
    <w:rsid w:val="00995971"/>
    <w:rsid w:val="00995D4A"/>
    <w:rsid w:val="00997154"/>
    <w:rsid w:val="009971A0"/>
    <w:rsid w:val="00997221"/>
    <w:rsid w:val="009979F4"/>
    <w:rsid w:val="009A087D"/>
    <w:rsid w:val="009A1A4D"/>
    <w:rsid w:val="009A21CB"/>
    <w:rsid w:val="009A3480"/>
    <w:rsid w:val="009A36DA"/>
    <w:rsid w:val="009A4318"/>
    <w:rsid w:val="009A4969"/>
    <w:rsid w:val="009A52AB"/>
    <w:rsid w:val="009A57AF"/>
    <w:rsid w:val="009A5BA0"/>
    <w:rsid w:val="009A5BE4"/>
    <w:rsid w:val="009A5D0C"/>
    <w:rsid w:val="009A685A"/>
    <w:rsid w:val="009A7034"/>
    <w:rsid w:val="009A7934"/>
    <w:rsid w:val="009A7DA2"/>
    <w:rsid w:val="009A7DE2"/>
    <w:rsid w:val="009B03C1"/>
    <w:rsid w:val="009B0E42"/>
    <w:rsid w:val="009B12AE"/>
    <w:rsid w:val="009B2AD9"/>
    <w:rsid w:val="009B3C9F"/>
    <w:rsid w:val="009B3DF5"/>
    <w:rsid w:val="009B3E45"/>
    <w:rsid w:val="009B41E9"/>
    <w:rsid w:val="009B4623"/>
    <w:rsid w:val="009B4A39"/>
    <w:rsid w:val="009B535C"/>
    <w:rsid w:val="009B6A2E"/>
    <w:rsid w:val="009B6D13"/>
    <w:rsid w:val="009B707E"/>
    <w:rsid w:val="009B792E"/>
    <w:rsid w:val="009C09D1"/>
    <w:rsid w:val="009C0B7B"/>
    <w:rsid w:val="009C1345"/>
    <w:rsid w:val="009C163D"/>
    <w:rsid w:val="009C16F3"/>
    <w:rsid w:val="009C2C65"/>
    <w:rsid w:val="009C3382"/>
    <w:rsid w:val="009C364F"/>
    <w:rsid w:val="009C3787"/>
    <w:rsid w:val="009C6809"/>
    <w:rsid w:val="009C6BBF"/>
    <w:rsid w:val="009C715F"/>
    <w:rsid w:val="009C7DCA"/>
    <w:rsid w:val="009D08D5"/>
    <w:rsid w:val="009D1C5C"/>
    <w:rsid w:val="009D1DEB"/>
    <w:rsid w:val="009D21B5"/>
    <w:rsid w:val="009D2806"/>
    <w:rsid w:val="009D2860"/>
    <w:rsid w:val="009D3991"/>
    <w:rsid w:val="009D400E"/>
    <w:rsid w:val="009D56C0"/>
    <w:rsid w:val="009D5D57"/>
    <w:rsid w:val="009D6219"/>
    <w:rsid w:val="009D63E6"/>
    <w:rsid w:val="009D6606"/>
    <w:rsid w:val="009D68CC"/>
    <w:rsid w:val="009D6D1F"/>
    <w:rsid w:val="009D6DC2"/>
    <w:rsid w:val="009D7650"/>
    <w:rsid w:val="009E0D46"/>
    <w:rsid w:val="009E2067"/>
    <w:rsid w:val="009E259A"/>
    <w:rsid w:val="009E260D"/>
    <w:rsid w:val="009E2843"/>
    <w:rsid w:val="009E6459"/>
    <w:rsid w:val="009E6BF9"/>
    <w:rsid w:val="009E6E28"/>
    <w:rsid w:val="009E6FAE"/>
    <w:rsid w:val="009E72C6"/>
    <w:rsid w:val="009E7C0E"/>
    <w:rsid w:val="009F0356"/>
    <w:rsid w:val="009F03C0"/>
    <w:rsid w:val="009F0F81"/>
    <w:rsid w:val="009F10B3"/>
    <w:rsid w:val="009F11DF"/>
    <w:rsid w:val="009F15E8"/>
    <w:rsid w:val="009F263A"/>
    <w:rsid w:val="009F3664"/>
    <w:rsid w:val="009F3761"/>
    <w:rsid w:val="009F4362"/>
    <w:rsid w:val="009F4F11"/>
    <w:rsid w:val="009F576F"/>
    <w:rsid w:val="009F5978"/>
    <w:rsid w:val="009F59F9"/>
    <w:rsid w:val="009F5CE5"/>
    <w:rsid w:val="009F60DC"/>
    <w:rsid w:val="009F6335"/>
    <w:rsid w:val="009F6A07"/>
    <w:rsid w:val="009F7439"/>
    <w:rsid w:val="00A0084A"/>
    <w:rsid w:val="00A01ED3"/>
    <w:rsid w:val="00A01EF4"/>
    <w:rsid w:val="00A02105"/>
    <w:rsid w:val="00A02282"/>
    <w:rsid w:val="00A031FA"/>
    <w:rsid w:val="00A04289"/>
    <w:rsid w:val="00A0436F"/>
    <w:rsid w:val="00A05CEC"/>
    <w:rsid w:val="00A063DF"/>
    <w:rsid w:val="00A06776"/>
    <w:rsid w:val="00A073B4"/>
    <w:rsid w:val="00A113E0"/>
    <w:rsid w:val="00A11854"/>
    <w:rsid w:val="00A12DE0"/>
    <w:rsid w:val="00A12F70"/>
    <w:rsid w:val="00A138BB"/>
    <w:rsid w:val="00A1460F"/>
    <w:rsid w:val="00A14CF7"/>
    <w:rsid w:val="00A14D59"/>
    <w:rsid w:val="00A165B5"/>
    <w:rsid w:val="00A17B82"/>
    <w:rsid w:val="00A17BDC"/>
    <w:rsid w:val="00A200E7"/>
    <w:rsid w:val="00A20B08"/>
    <w:rsid w:val="00A2170F"/>
    <w:rsid w:val="00A22936"/>
    <w:rsid w:val="00A23BA4"/>
    <w:rsid w:val="00A23BB2"/>
    <w:rsid w:val="00A24528"/>
    <w:rsid w:val="00A24E24"/>
    <w:rsid w:val="00A2508B"/>
    <w:rsid w:val="00A259AD"/>
    <w:rsid w:val="00A26103"/>
    <w:rsid w:val="00A26112"/>
    <w:rsid w:val="00A311F0"/>
    <w:rsid w:val="00A33BAF"/>
    <w:rsid w:val="00A3477F"/>
    <w:rsid w:val="00A36BE8"/>
    <w:rsid w:val="00A36E61"/>
    <w:rsid w:val="00A3750A"/>
    <w:rsid w:val="00A400EF"/>
    <w:rsid w:val="00A401E6"/>
    <w:rsid w:val="00A4053A"/>
    <w:rsid w:val="00A40EFA"/>
    <w:rsid w:val="00A43495"/>
    <w:rsid w:val="00A43876"/>
    <w:rsid w:val="00A43B01"/>
    <w:rsid w:val="00A43F44"/>
    <w:rsid w:val="00A44396"/>
    <w:rsid w:val="00A456A2"/>
    <w:rsid w:val="00A462CA"/>
    <w:rsid w:val="00A46A5C"/>
    <w:rsid w:val="00A46F96"/>
    <w:rsid w:val="00A46F9C"/>
    <w:rsid w:val="00A4720E"/>
    <w:rsid w:val="00A507C7"/>
    <w:rsid w:val="00A51241"/>
    <w:rsid w:val="00A515CC"/>
    <w:rsid w:val="00A51EEA"/>
    <w:rsid w:val="00A52035"/>
    <w:rsid w:val="00A5267C"/>
    <w:rsid w:val="00A528E9"/>
    <w:rsid w:val="00A53EC6"/>
    <w:rsid w:val="00A53FF4"/>
    <w:rsid w:val="00A54385"/>
    <w:rsid w:val="00A54704"/>
    <w:rsid w:val="00A549C9"/>
    <w:rsid w:val="00A5517D"/>
    <w:rsid w:val="00A55419"/>
    <w:rsid w:val="00A554B1"/>
    <w:rsid w:val="00A55545"/>
    <w:rsid w:val="00A55BB3"/>
    <w:rsid w:val="00A55C54"/>
    <w:rsid w:val="00A56411"/>
    <w:rsid w:val="00A5733D"/>
    <w:rsid w:val="00A57453"/>
    <w:rsid w:val="00A604D3"/>
    <w:rsid w:val="00A61707"/>
    <w:rsid w:val="00A61D79"/>
    <w:rsid w:val="00A62F91"/>
    <w:rsid w:val="00A630EC"/>
    <w:rsid w:val="00A64F72"/>
    <w:rsid w:val="00A65D75"/>
    <w:rsid w:val="00A673BE"/>
    <w:rsid w:val="00A6764E"/>
    <w:rsid w:val="00A67B33"/>
    <w:rsid w:val="00A700AE"/>
    <w:rsid w:val="00A70E4E"/>
    <w:rsid w:val="00A714A3"/>
    <w:rsid w:val="00A71BB5"/>
    <w:rsid w:val="00A71D66"/>
    <w:rsid w:val="00A7212E"/>
    <w:rsid w:val="00A72BCF"/>
    <w:rsid w:val="00A7329C"/>
    <w:rsid w:val="00A73A0F"/>
    <w:rsid w:val="00A75C1D"/>
    <w:rsid w:val="00A75D5C"/>
    <w:rsid w:val="00A80368"/>
    <w:rsid w:val="00A80A45"/>
    <w:rsid w:val="00A818A3"/>
    <w:rsid w:val="00A83578"/>
    <w:rsid w:val="00A838C2"/>
    <w:rsid w:val="00A84075"/>
    <w:rsid w:val="00A84600"/>
    <w:rsid w:val="00A8476A"/>
    <w:rsid w:val="00A84B94"/>
    <w:rsid w:val="00A850E7"/>
    <w:rsid w:val="00A86008"/>
    <w:rsid w:val="00A86390"/>
    <w:rsid w:val="00A86721"/>
    <w:rsid w:val="00A86A8A"/>
    <w:rsid w:val="00A86B11"/>
    <w:rsid w:val="00A8723E"/>
    <w:rsid w:val="00A87EFE"/>
    <w:rsid w:val="00A87F3D"/>
    <w:rsid w:val="00A90145"/>
    <w:rsid w:val="00A90AB3"/>
    <w:rsid w:val="00A910AE"/>
    <w:rsid w:val="00A91399"/>
    <w:rsid w:val="00A91772"/>
    <w:rsid w:val="00A91E94"/>
    <w:rsid w:val="00A932B9"/>
    <w:rsid w:val="00A93865"/>
    <w:rsid w:val="00A93A5B"/>
    <w:rsid w:val="00A95406"/>
    <w:rsid w:val="00A958BD"/>
    <w:rsid w:val="00A95C44"/>
    <w:rsid w:val="00A96032"/>
    <w:rsid w:val="00A9621A"/>
    <w:rsid w:val="00A9641B"/>
    <w:rsid w:val="00A96D07"/>
    <w:rsid w:val="00A97558"/>
    <w:rsid w:val="00A975B8"/>
    <w:rsid w:val="00A977DC"/>
    <w:rsid w:val="00A97F56"/>
    <w:rsid w:val="00AA0C20"/>
    <w:rsid w:val="00AA275E"/>
    <w:rsid w:val="00AA3C4C"/>
    <w:rsid w:val="00AA57A5"/>
    <w:rsid w:val="00AA6213"/>
    <w:rsid w:val="00AB02A7"/>
    <w:rsid w:val="00AB0F37"/>
    <w:rsid w:val="00AB138E"/>
    <w:rsid w:val="00AB13BA"/>
    <w:rsid w:val="00AB40E4"/>
    <w:rsid w:val="00AB473D"/>
    <w:rsid w:val="00AB4A45"/>
    <w:rsid w:val="00AB4EDF"/>
    <w:rsid w:val="00AB6084"/>
    <w:rsid w:val="00AB7533"/>
    <w:rsid w:val="00AC0678"/>
    <w:rsid w:val="00AC1746"/>
    <w:rsid w:val="00AC39B8"/>
    <w:rsid w:val="00AC3ED9"/>
    <w:rsid w:val="00AC4D30"/>
    <w:rsid w:val="00AC649B"/>
    <w:rsid w:val="00AC7275"/>
    <w:rsid w:val="00AC7358"/>
    <w:rsid w:val="00AC73B7"/>
    <w:rsid w:val="00AC7821"/>
    <w:rsid w:val="00AD03A4"/>
    <w:rsid w:val="00AD078E"/>
    <w:rsid w:val="00AD09AD"/>
    <w:rsid w:val="00AD09FF"/>
    <w:rsid w:val="00AD3B37"/>
    <w:rsid w:val="00AD4BC0"/>
    <w:rsid w:val="00AD4CB7"/>
    <w:rsid w:val="00AD59B6"/>
    <w:rsid w:val="00AD71D5"/>
    <w:rsid w:val="00AE0239"/>
    <w:rsid w:val="00AE0479"/>
    <w:rsid w:val="00AE0B25"/>
    <w:rsid w:val="00AE3186"/>
    <w:rsid w:val="00AE3670"/>
    <w:rsid w:val="00AE43CB"/>
    <w:rsid w:val="00AE4A8C"/>
    <w:rsid w:val="00AE5EFF"/>
    <w:rsid w:val="00AE6510"/>
    <w:rsid w:val="00AE75A5"/>
    <w:rsid w:val="00AF0186"/>
    <w:rsid w:val="00AF05E2"/>
    <w:rsid w:val="00AF1053"/>
    <w:rsid w:val="00AF1475"/>
    <w:rsid w:val="00AF2490"/>
    <w:rsid w:val="00AF2A64"/>
    <w:rsid w:val="00AF315F"/>
    <w:rsid w:val="00AF320C"/>
    <w:rsid w:val="00AF4F04"/>
    <w:rsid w:val="00AF4F92"/>
    <w:rsid w:val="00AF50CF"/>
    <w:rsid w:val="00AF5FC4"/>
    <w:rsid w:val="00AF65D7"/>
    <w:rsid w:val="00B0099D"/>
    <w:rsid w:val="00B017C0"/>
    <w:rsid w:val="00B01B74"/>
    <w:rsid w:val="00B028F8"/>
    <w:rsid w:val="00B031F3"/>
    <w:rsid w:val="00B03895"/>
    <w:rsid w:val="00B03BB8"/>
    <w:rsid w:val="00B03E36"/>
    <w:rsid w:val="00B0417E"/>
    <w:rsid w:val="00B04570"/>
    <w:rsid w:val="00B04B52"/>
    <w:rsid w:val="00B056D8"/>
    <w:rsid w:val="00B0704B"/>
    <w:rsid w:val="00B07123"/>
    <w:rsid w:val="00B07A8D"/>
    <w:rsid w:val="00B07FEE"/>
    <w:rsid w:val="00B101B8"/>
    <w:rsid w:val="00B1293A"/>
    <w:rsid w:val="00B1302B"/>
    <w:rsid w:val="00B137DD"/>
    <w:rsid w:val="00B15D64"/>
    <w:rsid w:val="00B163B2"/>
    <w:rsid w:val="00B16603"/>
    <w:rsid w:val="00B1694E"/>
    <w:rsid w:val="00B175A6"/>
    <w:rsid w:val="00B1764C"/>
    <w:rsid w:val="00B177A1"/>
    <w:rsid w:val="00B17964"/>
    <w:rsid w:val="00B17B78"/>
    <w:rsid w:val="00B17C96"/>
    <w:rsid w:val="00B202BC"/>
    <w:rsid w:val="00B20408"/>
    <w:rsid w:val="00B20CC6"/>
    <w:rsid w:val="00B21558"/>
    <w:rsid w:val="00B21755"/>
    <w:rsid w:val="00B21780"/>
    <w:rsid w:val="00B22B8D"/>
    <w:rsid w:val="00B230B7"/>
    <w:rsid w:val="00B23699"/>
    <w:rsid w:val="00B24708"/>
    <w:rsid w:val="00B25075"/>
    <w:rsid w:val="00B263D6"/>
    <w:rsid w:val="00B26811"/>
    <w:rsid w:val="00B27245"/>
    <w:rsid w:val="00B27650"/>
    <w:rsid w:val="00B30859"/>
    <w:rsid w:val="00B31B88"/>
    <w:rsid w:val="00B31C77"/>
    <w:rsid w:val="00B34495"/>
    <w:rsid w:val="00B3506E"/>
    <w:rsid w:val="00B35071"/>
    <w:rsid w:val="00B35992"/>
    <w:rsid w:val="00B35A07"/>
    <w:rsid w:val="00B364F8"/>
    <w:rsid w:val="00B3686C"/>
    <w:rsid w:val="00B372BD"/>
    <w:rsid w:val="00B37C96"/>
    <w:rsid w:val="00B37D01"/>
    <w:rsid w:val="00B40276"/>
    <w:rsid w:val="00B40BAD"/>
    <w:rsid w:val="00B4101A"/>
    <w:rsid w:val="00B41871"/>
    <w:rsid w:val="00B43323"/>
    <w:rsid w:val="00B43814"/>
    <w:rsid w:val="00B4428A"/>
    <w:rsid w:val="00B45F23"/>
    <w:rsid w:val="00B4663F"/>
    <w:rsid w:val="00B47567"/>
    <w:rsid w:val="00B5019A"/>
    <w:rsid w:val="00B50DE2"/>
    <w:rsid w:val="00B50F09"/>
    <w:rsid w:val="00B511F2"/>
    <w:rsid w:val="00B5146F"/>
    <w:rsid w:val="00B518A4"/>
    <w:rsid w:val="00B52793"/>
    <w:rsid w:val="00B52B81"/>
    <w:rsid w:val="00B531E7"/>
    <w:rsid w:val="00B53DE2"/>
    <w:rsid w:val="00B53EBA"/>
    <w:rsid w:val="00B54B20"/>
    <w:rsid w:val="00B5550F"/>
    <w:rsid w:val="00B557C8"/>
    <w:rsid w:val="00B55F6A"/>
    <w:rsid w:val="00B5679F"/>
    <w:rsid w:val="00B57BAC"/>
    <w:rsid w:val="00B60337"/>
    <w:rsid w:val="00B60CF3"/>
    <w:rsid w:val="00B63DD9"/>
    <w:rsid w:val="00B640EB"/>
    <w:rsid w:val="00B64AFD"/>
    <w:rsid w:val="00B656B0"/>
    <w:rsid w:val="00B65894"/>
    <w:rsid w:val="00B65AA2"/>
    <w:rsid w:val="00B6674D"/>
    <w:rsid w:val="00B67E11"/>
    <w:rsid w:val="00B709AE"/>
    <w:rsid w:val="00B71641"/>
    <w:rsid w:val="00B7252E"/>
    <w:rsid w:val="00B7279B"/>
    <w:rsid w:val="00B72B55"/>
    <w:rsid w:val="00B72D70"/>
    <w:rsid w:val="00B72EA1"/>
    <w:rsid w:val="00B7461E"/>
    <w:rsid w:val="00B76AD6"/>
    <w:rsid w:val="00B770F9"/>
    <w:rsid w:val="00B777E1"/>
    <w:rsid w:val="00B80501"/>
    <w:rsid w:val="00B807EC"/>
    <w:rsid w:val="00B809F0"/>
    <w:rsid w:val="00B81243"/>
    <w:rsid w:val="00B82356"/>
    <w:rsid w:val="00B82ABF"/>
    <w:rsid w:val="00B82CC3"/>
    <w:rsid w:val="00B83904"/>
    <w:rsid w:val="00B83983"/>
    <w:rsid w:val="00B83F36"/>
    <w:rsid w:val="00B83FCC"/>
    <w:rsid w:val="00B84A89"/>
    <w:rsid w:val="00B85163"/>
    <w:rsid w:val="00B85371"/>
    <w:rsid w:val="00B855F5"/>
    <w:rsid w:val="00B85C1C"/>
    <w:rsid w:val="00B85DB3"/>
    <w:rsid w:val="00B861C7"/>
    <w:rsid w:val="00B90BD9"/>
    <w:rsid w:val="00B90D54"/>
    <w:rsid w:val="00B9142B"/>
    <w:rsid w:val="00B9151B"/>
    <w:rsid w:val="00B9190D"/>
    <w:rsid w:val="00B91B05"/>
    <w:rsid w:val="00B91E81"/>
    <w:rsid w:val="00B93F7F"/>
    <w:rsid w:val="00B94080"/>
    <w:rsid w:val="00B9451F"/>
    <w:rsid w:val="00B94675"/>
    <w:rsid w:val="00B955C6"/>
    <w:rsid w:val="00B96355"/>
    <w:rsid w:val="00B9641F"/>
    <w:rsid w:val="00B96633"/>
    <w:rsid w:val="00B96736"/>
    <w:rsid w:val="00B96DF9"/>
    <w:rsid w:val="00B97D9B"/>
    <w:rsid w:val="00BA0ECB"/>
    <w:rsid w:val="00BA1A4F"/>
    <w:rsid w:val="00BA1F90"/>
    <w:rsid w:val="00BA241A"/>
    <w:rsid w:val="00BA3412"/>
    <w:rsid w:val="00BA49E3"/>
    <w:rsid w:val="00BA603D"/>
    <w:rsid w:val="00BA60F1"/>
    <w:rsid w:val="00BA6E6A"/>
    <w:rsid w:val="00BA7540"/>
    <w:rsid w:val="00BA75BD"/>
    <w:rsid w:val="00BA7677"/>
    <w:rsid w:val="00BB095A"/>
    <w:rsid w:val="00BB09B9"/>
    <w:rsid w:val="00BB0A9E"/>
    <w:rsid w:val="00BB0CB1"/>
    <w:rsid w:val="00BB2407"/>
    <w:rsid w:val="00BB245E"/>
    <w:rsid w:val="00BB4207"/>
    <w:rsid w:val="00BB5ACD"/>
    <w:rsid w:val="00BB62B7"/>
    <w:rsid w:val="00BB74A5"/>
    <w:rsid w:val="00BC0B0E"/>
    <w:rsid w:val="00BC0D44"/>
    <w:rsid w:val="00BC100F"/>
    <w:rsid w:val="00BC226C"/>
    <w:rsid w:val="00BC33F6"/>
    <w:rsid w:val="00BC3FAE"/>
    <w:rsid w:val="00BC4BCA"/>
    <w:rsid w:val="00BC5CCA"/>
    <w:rsid w:val="00BC7F6A"/>
    <w:rsid w:val="00BD0568"/>
    <w:rsid w:val="00BD1DBE"/>
    <w:rsid w:val="00BD22BB"/>
    <w:rsid w:val="00BD2A98"/>
    <w:rsid w:val="00BD39EB"/>
    <w:rsid w:val="00BD4203"/>
    <w:rsid w:val="00BD44B1"/>
    <w:rsid w:val="00BD59E5"/>
    <w:rsid w:val="00BD5CC7"/>
    <w:rsid w:val="00BD62BD"/>
    <w:rsid w:val="00BD71CF"/>
    <w:rsid w:val="00BE0210"/>
    <w:rsid w:val="00BE181D"/>
    <w:rsid w:val="00BE18CB"/>
    <w:rsid w:val="00BE468B"/>
    <w:rsid w:val="00BE532D"/>
    <w:rsid w:val="00BE5A9D"/>
    <w:rsid w:val="00BE5C46"/>
    <w:rsid w:val="00BE619E"/>
    <w:rsid w:val="00BE68EC"/>
    <w:rsid w:val="00BF011B"/>
    <w:rsid w:val="00BF1606"/>
    <w:rsid w:val="00BF1614"/>
    <w:rsid w:val="00BF1954"/>
    <w:rsid w:val="00BF2275"/>
    <w:rsid w:val="00BF284E"/>
    <w:rsid w:val="00BF286C"/>
    <w:rsid w:val="00BF41CF"/>
    <w:rsid w:val="00BF5EC5"/>
    <w:rsid w:val="00BF7A11"/>
    <w:rsid w:val="00BF7BAA"/>
    <w:rsid w:val="00C00411"/>
    <w:rsid w:val="00C015A5"/>
    <w:rsid w:val="00C01C89"/>
    <w:rsid w:val="00C01CB8"/>
    <w:rsid w:val="00C02B18"/>
    <w:rsid w:val="00C02EFE"/>
    <w:rsid w:val="00C03C64"/>
    <w:rsid w:val="00C049FB"/>
    <w:rsid w:val="00C04F05"/>
    <w:rsid w:val="00C05813"/>
    <w:rsid w:val="00C05E11"/>
    <w:rsid w:val="00C05FB9"/>
    <w:rsid w:val="00C072C5"/>
    <w:rsid w:val="00C0730F"/>
    <w:rsid w:val="00C10172"/>
    <w:rsid w:val="00C1131A"/>
    <w:rsid w:val="00C1349C"/>
    <w:rsid w:val="00C14516"/>
    <w:rsid w:val="00C1620A"/>
    <w:rsid w:val="00C17E24"/>
    <w:rsid w:val="00C20109"/>
    <w:rsid w:val="00C21C1C"/>
    <w:rsid w:val="00C21C27"/>
    <w:rsid w:val="00C22D52"/>
    <w:rsid w:val="00C22F10"/>
    <w:rsid w:val="00C230C1"/>
    <w:rsid w:val="00C23692"/>
    <w:rsid w:val="00C23E5A"/>
    <w:rsid w:val="00C25018"/>
    <w:rsid w:val="00C25370"/>
    <w:rsid w:val="00C257EA"/>
    <w:rsid w:val="00C25D1F"/>
    <w:rsid w:val="00C25E6D"/>
    <w:rsid w:val="00C2673B"/>
    <w:rsid w:val="00C30951"/>
    <w:rsid w:val="00C31476"/>
    <w:rsid w:val="00C3149E"/>
    <w:rsid w:val="00C316A5"/>
    <w:rsid w:val="00C32FB8"/>
    <w:rsid w:val="00C33890"/>
    <w:rsid w:val="00C34003"/>
    <w:rsid w:val="00C340B8"/>
    <w:rsid w:val="00C3675D"/>
    <w:rsid w:val="00C36BE8"/>
    <w:rsid w:val="00C3717E"/>
    <w:rsid w:val="00C4145E"/>
    <w:rsid w:val="00C41586"/>
    <w:rsid w:val="00C423D5"/>
    <w:rsid w:val="00C42552"/>
    <w:rsid w:val="00C42B1F"/>
    <w:rsid w:val="00C42B3C"/>
    <w:rsid w:val="00C42C3A"/>
    <w:rsid w:val="00C43242"/>
    <w:rsid w:val="00C4448A"/>
    <w:rsid w:val="00C445B0"/>
    <w:rsid w:val="00C44E57"/>
    <w:rsid w:val="00C44F70"/>
    <w:rsid w:val="00C456D1"/>
    <w:rsid w:val="00C458BD"/>
    <w:rsid w:val="00C45E5F"/>
    <w:rsid w:val="00C46BDD"/>
    <w:rsid w:val="00C46E96"/>
    <w:rsid w:val="00C46F97"/>
    <w:rsid w:val="00C47408"/>
    <w:rsid w:val="00C474AF"/>
    <w:rsid w:val="00C4756B"/>
    <w:rsid w:val="00C47972"/>
    <w:rsid w:val="00C47ABD"/>
    <w:rsid w:val="00C47D25"/>
    <w:rsid w:val="00C505A0"/>
    <w:rsid w:val="00C5156B"/>
    <w:rsid w:val="00C5260E"/>
    <w:rsid w:val="00C529B0"/>
    <w:rsid w:val="00C5341B"/>
    <w:rsid w:val="00C53F69"/>
    <w:rsid w:val="00C56343"/>
    <w:rsid w:val="00C574A1"/>
    <w:rsid w:val="00C600D0"/>
    <w:rsid w:val="00C60781"/>
    <w:rsid w:val="00C60B34"/>
    <w:rsid w:val="00C60B5B"/>
    <w:rsid w:val="00C60ED5"/>
    <w:rsid w:val="00C62BA3"/>
    <w:rsid w:val="00C62DB9"/>
    <w:rsid w:val="00C635CB"/>
    <w:rsid w:val="00C639EC"/>
    <w:rsid w:val="00C64132"/>
    <w:rsid w:val="00C64E2B"/>
    <w:rsid w:val="00C65B26"/>
    <w:rsid w:val="00C66B1A"/>
    <w:rsid w:val="00C67919"/>
    <w:rsid w:val="00C7002C"/>
    <w:rsid w:val="00C703C5"/>
    <w:rsid w:val="00C70757"/>
    <w:rsid w:val="00C7136D"/>
    <w:rsid w:val="00C71D01"/>
    <w:rsid w:val="00C724CB"/>
    <w:rsid w:val="00C72C47"/>
    <w:rsid w:val="00C73163"/>
    <w:rsid w:val="00C749A0"/>
    <w:rsid w:val="00C75850"/>
    <w:rsid w:val="00C75B80"/>
    <w:rsid w:val="00C75BE7"/>
    <w:rsid w:val="00C75C53"/>
    <w:rsid w:val="00C77889"/>
    <w:rsid w:val="00C778FE"/>
    <w:rsid w:val="00C77E46"/>
    <w:rsid w:val="00C8083F"/>
    <w:rsid w:val="00C80DC8"/>
    <w:rsid w:val="00C810A8"/>
    <w:rsid w:val="00C818B8"/>
    <w:rsid w:val="00C81BE5"/>
    <w:rsid w:val="00C81CD9"/>
    <w:rsid w:val="00C8265E"/>
    <w:rsid w:val="00C832A3"/>
    <w:rsid w:val="00C840C3"/>
    <w:rsid w:val="00C84426"/>
    <w:rsid w:val="00C8522E"/>
    <w:rsid w:val="00C85BD7"/>
    <w:rsid w:val="00C86476"/>
    <w:rsid w:val="00C86773"/>
    <w:rsid w:val="00C868B7"/>
    <w:rsid w:val="00C86A14"/>
    <w:rsid w:val="00C86AED"/>
    <w:rsid w:val="00C87778"/>
    <w:rsid w:val="00C877D2"/>
    <w:rsid w:val="00C87E49"/>
    <w:rsid w:val="00C903FC"/>
    <w:rsid w:val="00C91DBF"/>
    <w:rsid w:val="00C92899"/>
    <w:rsid w:val="00C92A28"/>
    <w:rsid w:val="00C93036"/>
    <w:rsid w:val="00C95C1C"/>
    <w:rsid w:val="00C96509"/>
    <w:rsid w:val="00C96801"/>
    <w:rsid w:val="00C96991"/>
    <w:rsid w:val="00C969F7"/>
    <w:rsid w:val="00C96F7B"/>
    <w:rsid w:val="00C97643"/>
    <w:rsid w:val="00CA09A8"/>
    <w:rsid w:val="00CA1692"/>
    <w:rsid w:val="00CA1D36"/>
    <w:rsid w:val="00CA22B3"/>
    <w:rsid w:val="00CA22DC"/>
    <w:rsid w:val="00CA2587"/>
    <w:rsid w:val="00CA2767"/>
    <w:rsid w:val="00CA3532"/>
    <w:rsid w:val="00CA6DEE"/>
    <w:rsid w:val="00CB0513"/>
    <w:rsid w:val="00CB1131"/>
    <w:rsid w:val="00CB2618"/>
    <w:rsid w:val="00CB2B03"/>
    <w:rsid w:val="00CB389D"/>
    <w:rsid w:val="00CB491B"/>
    <w:rsid w:val="00CB56CC"/>
    <w:rsid w:val="00CB579F"/>
    <w:rsid w:val="00CB5ACA"/>
    <w:rsid w:val="00CB679E"/>
    <w:rsid w:val="00CB6C14"/>
    <w:rsid w:val="00CB7800"/>
    <w:rsid w:val="00CC1A4F"/>
    <w:rsid w:val="00CC2451"/>
    <w:rsid w:val="00CC2F12"/>
    <w:rsid w:val="00CC46DB"/>
    <w:rsid w:val="00CC479E"/>
    <w:rsid w:val="00CC536D"/>
    <w:rsid w:val="00CC5490"/>
    <w:rsid w:val="00CC5AE3"/>
    <w:rsid w:val="00CC5C87"/>
    <w:rsid w:val="00CC7BFA"/>
    <w:rsid w:val="00CD008C"/>
    <w:rsid w:val="00CD00B1"/>
    <w:rsid w:val="00CD03D1"/>
    <w:rsid w:val="00CD054E"/>
    <w:rsid w:val="00CD0A29"/>
    <w:rsid w:val="00CD0ADD"/>
    <w:rsid w:val="00CD1601"/>
    <w:rsid w:val="00CD257D"/>
    <w:rsid w:val="00CD2F0C"/>
    <w:rsid w:val="00CD3828"/>
    <w:rsid w:val="00CD440C"/>
    <w:rsid w:val="00CD56CD"/>
    <w:rsid w:val="00CD5B48"/>
    <w:rsid w:val="00CD7160"/>
    <w:rsid w:val="00CD7809"/>
    <w:rsid w:val="00CE0B43"/>
    <w:rsid w:val="00CE156C"/>
    <w:rsid w:val="00CE16D7"/>
    <w:rsid w:val="00CE17C4"/>
    <w:rsid w:val="00CE2FCF"/>
    <w:rsid w:val="00CE359A"/>
    <w:rsid w:val="00CE4ADA"/>
    <w:rsid w:val="00CE5B53"/>
    <w:rsid w:val="00CE6139"/>
    <w:rsid w:val="00CE6411"/>
    <w:rsid w:val="00CE69FE"/>
    <w:rsid w:val="00CE75D8"/>
    <w:rsid w:val="00CE7B9F"/>
    <w:rsid w:val="00CF0843"/>
    <w:rsid w:val="00CF095A"/>
    <w:rsid w:val="00CF0BED"/>
    <w:rsid w:val="00CF0D8F"/>
    <w:rsid w:val="00CF1B01"/>
    <w:rsid w:val="00CF29A3"/>
    <w:rsid w:val="00CF2CAE"/>
    <w:rsid w:val="00CF349F"/>
    <w:rsid w:val="00CF3B11"/>
    <w:rsid w:val="00CF3BAC"/>
    <w:rsid w:val="00CF4244"/>
    <w:rsid w:val="00CF5117"/>
    <w:rsid w:val="00CF6220"/>
    <w:rsid w:val="00CF6391"/>
    <w:rsid w:val="00D0027A"/>
    <w:rsid w:val="00D005D5"/>
    <w:rsid w:val="00D029A6"/>
    <w:rsid w:val="00D029B1"/>
    <w:rsid w:val="00D02B3C"/>
    <w:rsid w:val="00D0333B"/>
    <w:rsid w:val="00D03BCF"/>
    <w:rsid w:val="00D04868"/>
    <w:rsid w:val="00D04A87"/>
    <w:rsid w:val="00D06F4F"/>
    <w:rsid w:val="00D07D67"/>
    <w:rsid w:val="00D104A3"/>
    <w:rsid w:val="00D105E4"/>
    <w:rsid w:val="00D10C8A"/>
    <w:rsid w:val="00D10FE0"/>
    <w:rsid w:val="00D1156F"/>
    <w:rsid w:val="00D11932"/>
    <w:rsid w:val="00D133FE"/>
    <w:rsid w:val="00D13693"/>
    <w:rsid w:val="00D13BE7"/>
    <w:rsid w:val="00D15C35"/>
    <w:rsid w:val="00D15D6C"/>
    <w:rsid w:val="00D15DB1"/>
    <w:rsid w:val="00D167A0"/>
    <w:rsid w:val="00D17206"/>
    <w:rsid w:val="00D17EBD"/>
    <w:rsid w:val="00D206C3"/>
    <w:rsid w:val="00D2181E"/>
    <w:rsid w:val="00D229DA"/>
    <w:rsid w:val="00D23A84"/>
    <w:rsid w:val="00D24A40"/>
    <w:rsid w:val="00D24A7A"/>
    <w:rsid w:val="00D24C2F"/>
    <w:rsid w:val="00D25049"/>
    <w:rsid w:val="00D25C23"/>
    <w:rsid w:val="00D25F0E"/>
    <w:rsid w:val="00D26C77"/>
    <w:rsid w:val="00D26D39"/>
    <w:rsid w:val="00D26D53"/>
    <w:rsid w:val="00D27101"/>
    <w:rsid w:val="00D3005B"/>
    <w:rsid w:val="00D30847"/>
    <w:rsid w:val="00D30CF1"/>
    <w:rsid w:val="00D314A1"/>
    <w:rsid w:val="00D3265B"/>
    <w:rsid w:val="00D3364C"/>
    <w:rsid w:val="00D33BF3"/>
    <w:rsid w:val="00D342FD"/>
    <w:rsid w:val="00D35362"/>
    <w:rsid w:val="00D35BB6"/>
    <w:rsid w:val="00D362C7"/>
    <w:rsid w:val="00D379D5"/>
    <w:rsid w:val="00D37FDF"/>
    <w:rsid w:val="00D406FD"/>
    <w:rsid w:val="00D410AC"/>
    <w:rsid w:val="00D429DD"/>
    <w:rsid w:val="00D43337"/>
    <w:rsid w:val="00D4340E"/>
    <w:rsid w:val="00D443CA"/>
    <w:rsid w:val="00D44550"/>
    <w:rsid w:val="00D4584A"/>
    <w:rsid w:val="00D45E07"/>
    <w:rsid w:val="00D5031D"/>
    <w:rsid w:val="00D50395"/>
    <w:rsid w:val="00D517E9"/>
    <w:rsid w:val="00D51C3F"/>
    <w:rsid w:val="00D51F19"/>
    <w:rsid w:val="00D524D7"/>
    <w:rsid w:val="00D5334A"/>
    <w:rsid w:val="00D533F1"/>
    <w:rsid w:val="00D543AD"/>
    <w:rsid w:val="00D547A2"/>
    <w:rsid w:val="00D54FB3"/>
    <w:rsid w:val="00D55294"/>
    <w:rsid w:val="00D55988"/>
    <w:rsid w:val="00D55F99"/>
    <w:rsid w:val="00D5609D"/>
    <w:rsid w:val="00D569CF"/>
    <w:rsid w:val="00D56C4F"/>
    <w:rsid w:val="00D5724C"/>
    <w:rsid w:val="00D57FDB"/>
    <w:rsid w:val="00D60054"/>
    <w:rsid w:val="00D60285"/>
    <w:rsid w:val="00D60696"/>
    <w:rsid w:val="00D60727"/>
    <w:rsid w:val="00D61B6B"/>
    <w:rsid w:val="00D62008"/>
    <w:rsid w:val="00D627A5"/>
    <w:rsid w:val="00D629FC"/>
    <w:rsid w:val="00D62C20"/>
    <w:rsid w:val="00D6316D"/>
    <w:rsid w:val="00D63A6E"/>
    <w:rsid w:val="00D63E3D"/>
    <w:rsid w:val="00D64032"/>
    <w:rsid w:val="00D643E4"/>
    <w:rsid w:val="00D650F4"/>
    <w:rsid w:val="00D6558E"/>
    <w:rsid w:val="00D65B0B"/>
    <w:rsid w:val="00D65DF9"/>
    <w:rsid w:val="00D65E15"/>
    <w:rsid w:val="00D66BFD"/>
    <w:rsid w:val="00D7015F"/>
    <w:rsid w:val="00D704B0"/>
    <w:rsid w:val="00D7166F"/>
    <w:rsid w:val="00D7191D"/>
    <w:rsid w:val="00D72040"/>
    <w:rsid w:val="00D738CF"/>
    <w:rsid w:val="00D7433C"/>
    <w:rsid w:val="00D745A2"/>
    <w:rsid w:val="00D74DE6"/>
    <w:rsid w:val="00D750AF"/>
    <w:rsid w:val="00D76E33"/>
    <w:rsid w:val="00D77529"/>
    <w:rsid w:val="00D77680"/>
    <w:rsid w:val="00D80CD9"/>
    <w:rsid w:val="00D81011"/>
    <w:rsid w:val="00D8163B"/>
    <w:rsid w:val="00D81801"/>
    <w:rsid w:val="00D8226F"/>
    <w:rsid w:val="00D83E9A"/>
    <w:rsid w:val="00D85D71"/>
    <w:rsid w:val="00D8666F"/>
    <w:rsid w:val="00D86A94"/>
    <w:rsid w:val="00D86C00"/>
    <w:rsid w:val="00D86D1F"/>
    <w:rsid w:val="00D870D3"/>
    <w:rsid w:val="00D8774E"/>
    <w:rsid w:val="00D900D3"/>
    <w:rsid w:val="00D9060B"/>
    <w:rsid w:val="00D9173C"/>
    <w:rsid w:val="00D91F8A"/>
    <w:rsid w:val="00D93AA2"/>
    <w:rsid w:val="00D93FB6"/>
    <w:rsid w:val="00D9447F"/>
    <w:rsid w:val="00D9635F"/>
    <w:rsid w:val="00D97645"/>
    <w:rsid w:val="00D97764"/>
    <w:rsid w:val="00D97BC2"/>
    <w:rsid w:val="00D97EFC"/>
    <w:rsid w:val="00DA160A"/>
    <w:rsid w:val="00DA2309"/>
    <w:rsid w:val="00DA236B"/>
    <w:rsid w:val="00DA2792"/>
    <w:rsid w:val="00DA4671"/>
    <w:rsid w:val="00DA4768"/>
    <w:rsid w:val="00DA5359"/>
    <w:rsid w:val="00DA5865"/>
    <w:rsid w:val="00DA5B1C"/>
    <w:rsid w:val="00DA5B3A"/>
    <w:rsid w:val="00DA616B"/>
    <w:rsid w:val="00DA63F7"/>
    <w:rsid w:val="00DA64A1"/>
    <w:rsid w:val="00DA6863"/>
    <w:rsid w:val="00DA6D9E"/>
    <w:rsid w:val="00DA6E1F"/>
    <w:rsid w:val="00DB08F4"/>
    <w:rsid w:val="00DB1F30"/>
    <w:rsid w:val="00DB2137"/>
    <w:rsid w:val="00DB214F"/>
    <w:rsid w:val="00DB295A"/>
    <w:rsid w:val="00DB2FF0"/>
    <w:rsid w:val="00DB337F"/>
    <w:rsid w:val="00DB3C3C"/>
    <w:rsid w:val="00DB43C0"/>
    <w:rsid w:val="00DB453B"/>
    <w:rsid w:val="00DB4574"/>
    <w:rsid w:val="00DB5589"/>
    <w:rsid w:val="00DB5958"/>
    <w:rsid w:val="00DB5AC4"/>
    <w:rsid w:val="00DB5D87"/>
    <w:rsid w:val="00DB5FAC"/>
    <w:rsid w:val="00DB6776"/>
    <w:rsid w:val="00DB6E0C"/>
    <w:rsid w:val="00DB75ED"/>
    <w:rsid w:val="00DB76B8"/>
    <w:rsid w:val="00DC09C4"/>
    <w:rsid w:val="00DC0ACF"/>
    <w:rsid w:val="00DC0FD5"/>
    <w:rsid w:val="00DC14AC"/>
    <w:rsid w:val="00DC167D"/>
    <w:rsid w:val="00DC1D06"/>
    <w:rsid w:val="00DC1EE9"/>
    <w:rsid w:val="00DC3C76"/>
    <w:rsid w:val="00DC4448"/>
    <w:rsid w:val="00DC5DF1"/>
    <w:rsid w:val="00DC640B"/>
    <w:rsid w:val="00DC64ED"/>
    <w:rsid w:val="00DC6986"/>
    <w:rsid w:val="00DC7D81"/>
    <w:rsid w:val="00DC7DBF"/>
    <w:rsid w:val="00DD1144"/>
    <w:rsid w:val="00DD11FD"/>
    <w:rsid w:val="00DD149A"/>
    <w:rsid w:val="00DD1D77"/>
    <w:rsid w:val="00DD1ED5"/>
    <w:rsid w:val="00DD22BE"/>
    <w:rsid w:val="00DD2408"/>
    <w:rsid w:val="00DD2D94"/>
    <w:rsid w:val="00DD300D"/>
    <w:rsid w:val="00DD3566"/>
    <w:rsid w:val="00DD37BB"/>
    <w:rsid w:val="00DD3C52"/>
    <w:rsid w:val="00DD40AA"/>
    <w:rsid w:val="00DD4BB8"/>
    <w:rsid w:val="00DD5CB8"/>
    <w:rsid w:val="00DD5FE7"/>
    <w:rsid w:val="00DE01C8"/>
    <w:rsid w:val="00DE0C18"/>
    <w:rsid w:val="00DE1B13"/>
    <w:rsid w:val="00DE1C7C"/>
    <w:rsid w:val="00DE2BCC"/>
    <w:rsid w:val="00DE2C96"/>
    <w:rsid w:val="00DE2D89"/>
    <w:rsid w:val="00DE2E77"/>
    <w:rsid w:val="00DE32D8"/>
    <w:rsid w:val="00DE3CB3"/>
    <w:rsid w:val="00DE5287"/>
    <w:rsid w:val="00DE6062"/>
    <w:rsid w:val="00DE7F2A"/>
    <w:rsid w:val="00DF12E6"/>
    <w:rsid w:val="00DF20CA"/>
    <w:rsid w:val="00DF279B"/>
    <w:rsid w:val="00DF3A34"/>
    <w:rsid w:val="00DF4DB9"/>
    <w:rsid w:val="00DF662F"/>
    <w:rsid w:val="00DF6D74"/>
    <w:rsid w:val="00E002CE"/>
    <w:rsid w:val="00E00930"/>
    <w:rsid w:val="00E00A3C"/>
    <w:rsid w:val="00E00C1B"/>
    <w:rsid w:val="00E02625"/>
    <w:rsid w:val="00E027D5"/>
    <w:rsid w:val="00E02820"/>
    <w:rsid w:val="00E02D38"/>
    <w:rsid w:val="00E02DEF"/>
    <w:rsid w:val="00E037B5"/>
    <w:rsid w:val="00E03A14"/>
    <w:rsid w:val="00E03CDC"/>
    <w:rsid w:val="00E03FC6"/>
    <w:rsid w:val="00E04A76"/>
    <w:rsid w:val="00E052C6"/>
    <w:rsid w:val="00E0557F"/>
    <w:rsid w:val="00E055C8"/>
    <w:rsid w:val="00E05BCF"/>
    <w:rsid w:val="00E063EE"/>
    <w:rsid w:val="00E06631"/>
    <w:rsid w:val="00E07527"/>
    <w:rsid w:val="00E079FD"/>
    <w:rsid w:val="00E11401"/>
    <w:rsid w:val="00E1151B"/>
    <w:rsid w:val="00E1235E"/>
    <w:rsid w:val="00E12560"/>
    <w:rsid w:val="00E12876"/>
    <w:rsid w:val="00E12DFC"/>
    <w:rsid w:val="00E13000"/>
    <w:rsid w:val="00E136BC"/>
    <w:rsid w:val="00E13C82"/>
    <w:rsid w:val="00E14422"/>
    <w:rsid w:val="00E14A51"/>
    <w:rsid w:val="00E15CD4"/>
    <w:rsid w:val="00E15DD7"/>
    <w:rsid w:val="00E162C7"/>
    <w:rsid w:val="00E16C67"/>
    <w:rsid w:val="00E173A3"/>
    <w:rsid w:val="00E17E2D"/>
    <w:rsid w:val="00E17E73"/>
    <w:rsid w:val="00E205D7"/>
    <w:rsid w:val="00E21E38"/>
    <w:rsid w:val="00E21E9D"/>
    <w:rsid w:val="00E22F90"/>
    <w:rsid w:val="00E2344E"/>
    <w:rsid w:val="00E23BDA"/>
    <w:rsid w:val="00E24BCF"/>
    <w:rsid w:val="00E24FB3"/>
    <w:rsid w:val="00E254C0"/>
    <w:rsid w:val="00E26DFE"/>
    <w:rsid w:val="00E27535"/>
    <w:rsid w:val="00E2765A"/>
    <w:rsid w:val="00E2771B"/>
    <w:rsid w:val="00E30FD4"/>
    <w:rsid w:val="00E31058"/>
    <w:rsid w:val="00E31797"/>
    <w:rsid w:val="00E31C32"/>
    <w:rsid w:val="00E3277B"/>
    <w:rsid w:val="00E33495"/>
    <w:rsid w:val="00E335B4"/>
    <w:rsid w:val="00E33F76"/>
    <w:rsid w:val="00E345DD"/>
    <w:rsid w:val="00E3474F"/>
    <w:rsid w:val="00E351CD"/>
    <w:rsid w:val="00E35DDD"/>
    <w:rsid w:val="00E35ED0"/>
    <w:rsid w:val="00E36125"/>
    <w:rsid w:val="00E37360"/>
    <w:rsid w:val="00E41557"/>
    <w:rsid w:val="00E431B8"/>
    <w:rsid w:val="00E434FE"/>
    <w:rsid w:val="00E43A75"/>
    <w:rsid w:val="00E43CB4"/>
    <w:rsid w:val="00E44043"/>
    <w:rsid w:val="00E442D4"/>
    <w:rsid w:val="00E44C3F"/>
    <w:rsid w:val="00E45699"/>
    <w:rsid w:val="00E462A7"/>
    <w:rsid w:val="00E468CF"/>
    <w:rsid w:val="00E5037F"/>
    <w:rsid w:val="00E5068D"/>
    <w:rsid w:val="00E53C3B"/>
    <w:rsid w:val="00E5457C"/>
    <w:rsid w:val="00E5494A"/>
    <w:rsid w:val="00E54B55"/>
    <w:rsid w:val="00E555E7"/>
    <w:rsid w:val="00E55723"/>
    <w:rsid w:val="00E558DF"/>
    <w:rsid w:val="00E5615F"/>
    <w:rsid w:val="00E561E5"/>
    <w:rsid w:val="00E56F4C"/>
    <w:rsid w:val="00E56FD7"/>
    <w:rsid w:val="00E57519"/>
    <w:rsid w:val="00E576BE"/>
    <w:rsid w:val="00E57B90"/>
    <w:rsid w:val="00E6022B"/>
    <w:rsid w:val="00E60F6E"/>
    <w:rsid w:val="00E61D88"/>
    <w:rsid w:val="00E622D6"/>
    <w:rsid w:val="00E63E72"/>
    <w:rsid w:val="00E64C69"/>
    <w:rsid w:val="00E65648"/>
    <w:rsid w:val="00E669C6"/>
    <w:rsid w:val="00E677D5"/>
    <w:rsid w:val="00E67BF7"/>
    <w:rsid w:val="00E725DB"/>
    <w:rsid w:val="00E72E2F"/>
    <w:rsid w:val="00E7351B"/>
    <w:rsid w:val="00E73F66"/>
    <w:rsid w:val="00E74C6B"/>
    <w:rsid w:val="00E74D89"/>
    <w:rsid w:val="00E762A3"/>
    <w:rsid w:val="00E76330"/>
    <w:rsid w:val="00E766AB"/>
    <w:rsid w:val="00E767DC"/>
    <w:rsid w:val="00E76F12"/>
    <w:rsid w:val="00E774DD"/>
    <w:rsid w:val="00E77E0D"/>
    <w:rsid w:val="00E8014B"/>
    <w:rsid w:val="00E8026E"/>
    <w:rsid w:val="00E80F7F"/>
    <w:rsid w:val="00E80F88"/>
    <w:rsid w:val="00E8104B"/>
    <w:rsid w:val="00E8107E"/>
    <w:rsid w:val="00E815FC"/>
    <w:rsid w:val="00E835B2"/>
    <w:rsid w:val="00E83F43"/>
    <w:rsid w:val="00E84772"/>
    <w:rsid w:val="00E854C3"/>
    <w:rsid w:val="00E86501"/>
    <w:rsid w:val="00E86771"/>
    <w:rsid w:val="00E86A79"/>
    <w:rsid w:val="00E86B85"/>
    <w:rsid w:val="00E87A8C"/>
    <w:rsid w:val="00E87C2C"/>
    <w:rsid w:val="00E87FBB"/>
    <w:rsid w:val="00E90071"/>
    <w:rsid w:val="00E901E5"/>
    <w:rsid w:val="00E90BF2"/>
    <w:rsid w:val="00E92131"/>
    <w:rsid w:val="00E926E1"/>
    <w:rsid w:val="00E92C1F"/>
    <w:rsid w:val="00E9313B"/>
    <w:rsid w:val="00E934BC"/>
    <w:rsid w:val="00E95785"/>
    <w:rsid w:val="00E97F6C"/>
    <w:rsid w:val="00E97F88"/>
    <w:rsid w:val="00EA0901"/>
    <w:rsid w:val="00EA1232"/>
    <w:rsid w:val="00EA1838"/>
    <w:rsid w:val="00EA2FF1"/>
    <w:rsid w:val="00EA345B"/>
    <w:rsid w:val="00EA3EC6"/>
    <w:rsid w:val="00EA4995"/>
    <w:rsid w:val="00EA5064"/>
    <w:rsid w:val="00EA53AF"/>
    <w:rsid w:val="00EA5C10"/>
    <w:rsid w:val="00EA5C35"/>
    <w:rsid w:val="00EA5CFC"/>
    <w:rsid w:val="00EA647E"/>
    <w:rsid w:val="00EA6E3C"/>
    <w:rsid w:val="00EA708C"/>
    <w:rsid w:val="00EA7190"/>
    <w:rsid w:val="00EA7DC9"/>
    <w:rsid w:val="00EB2758"/>
    <w:rsid w:val="00EB3777"/>
    <w:rsid w:val="00EB3B4D"/>
    <w:rsid w:val="00EB4ADF"/>
    <w:rsid w:val="00EB5246"/>
    <w:rsid w:val="00EB52CA"/>
    <w:rsid w:val="00EB53F2"/>
    <w:rsid w:val="00EB5784"/>
    <w:rsid w:val="00EB5B32"/>
    <w:rsid w:val="00EB6CB4"/>
    <w:rsid w:val="00EB731F"/>
    <w:rsid w:val="00EC163B"/>
    <w:rsid w:val="00EC1985"/>
    <w:rsid w:val="00EC26E9"/>
    <w:rsid w:val="00EC376B"/>
    <w:rsid w:val="00EC3C4A"/>
    <w:rsid w:val="00EC3D84"/>
    <w:rsid w:val="00EC4EFC"/>
    <w:rsid w:val="00EC5CB4"/>
    <w:rsid w:val="00EC5EC5"/>
    <w:rsid w:val="00EC64A3"/>
    <w:rsid w:val="00EC66E6"/>
    <w:rsid w:val="00EC7B11"/>
    <w:rsid w:val="00EC7B6B"/>
    <w:rsid w:val="00EC7BCD"/>
    <w:rsid w:val="00ED002C"/>
    <w:rsid w:val="00ED0692"/>
    <w:rsid w:val="00ED082C"/>
    <w:rsid w:val="00ED0BCD"/>
    <w:rsid w:val="00ED1EF6"/>
    <w:rsid w:val="00ED2452"/>
    <w:rsid w:val="00ED27CF"/>
    <w:rsid w:val="00ED2D4E"/>
    <w:rsid w:val="00ED2E59"/>
    <w:rsid w:val="00ED32E5"/>
    <w:rsid w:val="00ED333E"/>
    <w:rsid w:val="00ED48EF"/>
    <w:rsid w:val="00ED4AAF"/>
    <w:rsid w:val="00ED4B8F"/>
    <w:rsid w:val="00ED532F"/>
    <w:rsid w:val="00ED6425"/>
    <w:rsid w:val="00ED70DA"/>
    <w:rsid w:val="00ED71B9"/>
    <w:rsid w:val="00EE02C5"/>
    <w:rsid w:val="00EE0813"/>
    <w:rsid w:val="00EE0B1E"/>
    <w:rsid w:val="00EE0EB7"/>
    <w:rsid w:val="00EE0ED6"/>
    <w:rsid w:val="00EE1685"/>
    <w:rsid w:val="00EE21E3"/>
    <w:rsid w:val="00EE259D"/>
    <w:rsid w:val="00EE2BEA"/>
    <w:rsid w:val="00EE3037"/>
    <w:rsid w:val="00EE3329"/>
    <w:rsid w:val="00EE356E"/>
    <w:rsid w:val="00EE4F9C"/>
    <w:rsid w:val="00EE5435"/>
    <w:rsid w:val="00EE5832"/>
    <w:rsid w:val="00EE5E19"/>
    <w:rsid w:val="00EF0CA0"/>
    <w:rsid w:val="00EF14FC"/>
    <w:rsid w:val="00EF1578"/>
    <w:rsid w:val="00EF1E7D"/>
    <w:rsid w:val="00EF3119"/>
    <w:rsid w:val="00EF3173"/>
    <w:rsid w:val="00EF3440"/>
    <w:rsid w:val="00EF4536"/>
    <w:rsid w:val="00EF49C0"/>
    <w:rsid w:val="00EF4E11"/>
    <w:rsid w:val="00EF62E4"/>
    <w:rsid w:val="00EF66EE"/>
    <w:rsid w:val="00EF6BF2"/>
    <w:rsid w:val="00EF7C98"/>
    <w:rsid w:val="00F013BF"/>
    <w:rsid w:val="00F01D84"/>
    <w:rsid w:val="00F0290A"/>
    <w:rsid w:val="00F02D90"/>
    <w:rsid w:val="00F047CF"/>
    <w:rsid w:val="00F04B1E"/>
    <w:rsid w:val="00F04EB6"/>
    <w:rsid w:val="00F05640"/>
    <w:rsid w:val="00F058F4"/>
    <w:rsid w:val="00F06FEE"/>
    <w:rsid w:val="00F07659"/>
    <w:rsid w:val="00F106DB"/>
    <w:rsid w:val="00F10B0A"/>
    <w:rsid w:val="00F10C01"/>
    <w:rsid w:val="00F10EAF"/>
    <w:rsid w:val="00F12033"/>
    <w:rsid w:val="00F12981"/>
    <w:rsid w:val="00F131D9"/>
    <w:rsid w:val="00F13B45"/>
    <w:rsid w:val="00F13FF0"/>
    <w:rsid w:val="00F147DC"/>
    <w:rsid w:val="00F14E48"/>
    <w:rsid w:val="00F14F9E"/>
    <w:rsid w:val="00F154A1"/>
    <w:rsid w:val="00F15C0B"/>
    <w:rsid w:val="00F16074"/>
    <w:rsid w:val="00F16484"/>
    <w:rsid w:val="00F20433"/>
    <w:rsid w:val="00F207FE"/>
    <w:rsid w:val="00F20EA0"/>
    <w:rsid w:val="00F2174F"/>
    <w:rsid w:val="00F23095"/>
    <w:rsid w:val="00F2329B"/>
    <w:rsid w:val="00F23762"/>
    <w:rsid w:val="00F239B8"/>
    <w:rsid w:val="00F24572"/>
    <w:rsid w:val="00F27823"/>
    <w:rsid w:val="00F27D35"/>
    <w:rsid w:val="00F32336"/>
    <w:rsid w:val="00F3239D"/>
    <w:rsid w:val="00F3287F"/>
    <w:rsid w:val="00F32EB3"/>
    <w:rsid w:val="00F3359C"/>
    <w:rsid w:val="00F34110"/>
    <w:rsid w:val="00F34472"/>
    <w:rsid w:val="00F35F70"/>
    <w:rsid w:val="00F3705D"/>
    <w:rsid w:val="00F37490"/>
    <w:rsid w:val="00F37820"/>
    <w:rsid w:val="00F37E00"/>
    <w:rsid w:val="00F4080E"/>
    <w:rsid w:val="00F40BC5"/>
    <w:rsid w:val="00F41A52"/>
    <w:rsid w:val="00F41A69"/>
    <w:rsid w:val="00F41F9F"/>
    <w:rsid w:val="00F42D8C"/>
    <w:rsid w:val="00F4316D"/>
    <w:rsid w:val="00F43882"/>
    <w:rsid w:val="00F4453A"/>
    <w:rsid w:val="00F450C5"/>
    <w:rsid w:val="00F454BD"/>
    <w:rsid w:val="00F454F9"/>
    <w:rsid w:val="00F45FA7"/>
    <w:rsid w:val="00F4674E"/>
    <w:rsid w:val="00F50F88"/>
    <w:rsid w:val="00F51110"/>
    <w:rsid w:val="00F5193A"/>
    <w:rsid w:val="00F5274D"/>
    <w:rsid w:val="00F55C23"/>
    <w:rsid w:val="00F55F1F"/>
    <w:rsid w:val="00F56286"/>
    <w:rsid w:val="00F56343"/>
    <w:rsid w:val="00F565CE"/>
    <w:rsid w:val="00F56724"/>
    <w:rsid w:val="00F56E39"/>
    <w:rsid w:val="00F57A01"/>
    <w:rsid w:val="00F607AD"/>
    <w:rsid w:val="00F623A0"/>
    <w:rsid w:val="00F63892"/>
    <w:rsid w:val="00F63895"/>
    <w:rsid w:val="00F6428A"/>
    <w:rsid w:val="00F6590A"/>
    <w:rsid w:val="00F66037"/>
    <w:rsid w:val="00F673A9"/>
    <w:rsid w:val="00F67E5A"/>
    <w:rsid w:val="00F705B6"/>
    <w:rsid w:val="00F70A3B"/>
    <w:rsid w:val="00F70AC2"/>
    <w:rsid w:val="00F70FF5"/>
    <w:rsid w:val="00F71AAC"/>
    <w:rsid w:val="00F72156"/>
    <w:rsid w:val="00F72E7E"/>
    <w:rsid w:val="00F75219"/>
    <w:rsid w:val="00F753E8"/>
    <w:rsid w:val="00F75843"/>
    <w:rsid w:val="00F765B1"/>
    <w:rsid w:val="00F76A21"/>
    <w:rsid w:val="00F76DE3"/>
    <w:rsid w:val="00F772CE"/>
    <w:rsid w:val="00F77E70"/>
    <w:rsid w:val="00F80D2F"/>
    <w:rsid w:val="00F80E21"/>
    <w:rsid w:val="00F80F75"/>
    <w:rsid w:val="00F81058"/>
    <w:rsid w:val="00F8113E"/>
    <w:rsid w:val="00F81BFE"/>
    <w:rsid w:val="00F8259A"/>
    <w:rsid w:val="00F83910"/>
    <w:rsid w:val="00F83D58"/>
    <w:rsid w:val="00F84E2B"/>
    <w:rsid w:val="00F85037"/>
    <w:rsid w:val="00F857E4"/>
    <w:rsid w:val="00F863F8"/>
    <w:rsid w:val="00F86748"/>
    <w:rsid w:val="00F8709F"/>
    <w:rsid w:val="00F87921"/>
    <w:rsid w:val="00F90778"/>
    <w:rsid w:val="00F90EC3"/>
    <w:rsid w:val="00F9284B"/>
    <w:rsid w:val="00F932F5"/>
    <w:rsid w:val="00F9350D"/>
    <w:rsid w:val="00F93EBE"/>
    <w:rsid w:val="00F94B6E"/>
    <w:rsid w:val="00F94BA8"/>
    <w:rsid w:val="00F952F9"/>
    <w:rsid w:val="00F9566C"/>
    <w:rsid w:val="00F96BF8"/>
    <w:rsid w:val="00F96E60"/>
    <w:rsid w:val="00F9702E"/>
    <w:rsid w:val="00F9743A"/>
    <w:rsid w:val="00F97636"/>
    <w:rsid w:val="00F97ECD"/>
    <w:rsid w:val="00FA01F6"/>
    <w:rsid w:val="00FA115E"/>
    <w:rsid w:val="00FA2C98"/>
    <w:rsid w:val="00FA3C6B"/>
    <w:rsid w:val="00FA3DE2"/>
    <w:rsid w:val="00FA54CC"/>
    <w:rsid w:val="00FA5AE3"/>
    <w:rsid w:val="00FA6534"/>
    <w:rsid w:val="00FA7489"/>
    <w:rsid w:val="00FA7D38"/>
    <w:rsid w:val="00FB02F4"/>
    <w:rsid w:val="00FB0B4B"/>
    <w:rsid w:val="00FB11BD"/>
    <w:rsid w:val="00FB25D4"/>
    <w:rsid w:val="00FB2780"/>
    <w:rsid w:val="00FB3207"/>
    <w:rsid w:val="00FB38F8"/>
    <w:rsid w:val="00FB57E7"/>
    <w:rsid w:val="00FB5863"/>
    <w:rsid w:val="00FB6164"/>
    <w:rsid w:val="00FB6293"/>
    <w:rsid w:val="00FB649C"/>
    <w:rsid w:val="00FB7384"/>
    <w:rsid w:val="00FB7929"/>
    <w:rsid w:val="00FB7FE5"/>
    <w:rsid w:val="00FC007A"/>
    <w:rsid w:val="00FC0109"/>
    <w:rsid w:val="00FC024F"/>
    <w:rsid w:val="00FC0987"/>
    <w:rsid w:val="00FC0AA6"/>
    <w:rsid w:val="00FC1607"/>
    <w:rsid w:val="00FC2660"/>
    <w:rsid w:val="00FC4015"/>
    <w:rsid w:val="00FC5CAC"/>
    <w:rsid w:val="00FC64CB"/>
    <w:rsid w:val="00FC698B"/>
    <w:rsid w:val="00FC6BBF"/>
    <w:rsid w:val="00FD034C"/>
    <w:rsid w:val="00FD04CE"/>
    <w:rsid w:val="00FD16E6"/>
    <w:rsid w:val="00FD1F54"/>
    <w:rsid w:val="00FD2BE2"/>
    <w:rsid w:val="00FD314C"/>
    <w:rsid w:val="00FD4598"/>
    <w:rsid w:val="00FD494C"/>
    <w:rsid w:val="00FD55A6"/>
    <w:rsid w:val="00FD5D44"/>
    <w:rsid w:val="00FD65F8"/>
    <w:rsid w:val="00FD6914"/>
    <w:rsid w:val="00FD6E84"/>
    <w:rsid w:val="00FD784A"/>
    <w:rsid w:val="00FD7C84"/>
    <w:rsid w:val="00FE0957"/>
    <w:rsid w:val="00FE11DC"/>
    <w:rsid w:val="00FE1C83"/>
    <w:rsid w:val="00FE2336"/>
    <w:rsid w:val="00FE3037"/>
    <w:rsid w:val="00FE40DC"/>
    <w:rsid w:val="00FE4B81"/>
    <w:rsid w:val="00FE5CA4"/>
    <w:rsid w:val="00FE66E4"/>
    <w:rsid w:val="00FE7710"/>
    <w:rsid w:val="00FE7FDF"/>
    <w:rsid w:val="00FF031A"/>
    <w:rsid w:val="00FF0B6F"/>
    <w:rsid w:val="00FF0C58"/>
    <w:rsid w:val="00FF114F"/>
    <w:rsid w:val="00FF1BD4"/>
    <w:rsid w:val="00FF1C6D"/>
    <w:rsid w:val="00FF24ED"/>
    <w:rsid w:val="00FF3C63"/>
    <w:rsid w:val="00FF5063"/>
    <w:rsid w:val="00FF5337"/>
    <w:rsid w:val="00FF5DC8"/>
    <w:rsid w:val="00FF6573"/>
    <w:rsid w:val="00FF76CF"/>
    <w:rsid w:val="00FF7850"/>
    <w:rsid w:val="00FF78DD"/>
    <w:rsid w:val="00FF7DE0"/>
    <w:rsid w:val="011E71B1"/>
    <w:rsid w:val="012828AA"/>
    <w:rsid w:val="012A0989"/>
    <w:rsid w:val="012D0479"/>
    <w:rsid w:val="014D552D"/>
    <w:rsid w:val="01572F42"/>
    <w:rsid w:val="022F48FD"/>
    <w:rsid w:val="023E237E"/>
    <w:rsid w:val="0246469A"/>
    <w:rsid w:val="02AC49F2"/>
    <w:rsid w:val="03142260"/>
    <w:rsid w:val="03410642"/>
    <w:rsid w:val="034455A8"/>
    <w:rsid w:val="03C86237"/>
    <w:rsid w:val="03CE7CF1"/>
    <w:rsid w:val="03D64A87"/>
    <w:rsid w:val="03F31506"/>
    <w:rsid w:val="04411BD7"/>
    <w:rsid w:val="04BC27A5"/>
    <w:rsid w:val="04FC23CA"/>
    <w:rsid w:val="05322502"/>
    <w:rsid w:val="057C65D7"/>
    <w:rsid w:val="059E1945"/>
    <w:rsid w:val="05A01219"/>
    <w:rsid w:val="05CD41E9"/>
    <w:rsid w:val="060E0879"/>
    <w:rsid w:val="062647CB"/>
    <w:rsid w:val="068C4760"/>
    <w:rsid w:val="06D966C8"/>
    <w:rsid w:val="06FF299A"/>
    <w:rsid w:val="06FF4665"/>
    <w:rsid w:val="071F2612"/>
    <w:rsid w:val="078930BF"/>
    <w:rsid w:val="078F7797"/>
    <w:rsid w:val="07921036"/>
    <w:rsid w:val="07EA79D4"/>
    <w:rsid w:val="07F67816"/>
    <w:rsid w:val="08452127"/>
    <w:rsid w:val="084D0539"/>
    <w:rsid w:val="088E487C"/>
    <w:rsid w:val="08B634C9"/>
    <w:rsid w:val="08B92C94"/>
    <w:rsid w:val="08C945A3"/>
    <w:rsid w:val="08F906B7"/>
    <w:rsid w:val="08F91022"/>
    <w:rsid w:val="08FA6E8F"/>
    <w:rsid w:val="09187C60"/>
    <w:rsid w:val="093C448F"/>
    <w:rsid w:val="094F6F85"/>
    <w:rsid w:val="09B07358"/>
    <w:rsid w:val="09D726B7"/>
    <w:rsid w:val="09DE7E5F"/>
    <w:rsid w:val="0A360D69"/>
    <w:rsid w:val="0A391F3A"/>
    <w:rsid w:val="0A547E1A"/>
    <w:rsid w:val="0AA17496"/>
    <w:rsid w:val="0AA54643"/>
    <w:rsid w:val="0B8E1C8C"/>
    <w:rsid w:val="0B971310"/>
    <w:rsid w:val="0C060D45"/>
    <w:rsid w:val="0C232BA4"/>
    <w:rsid w:val="0C2C0FB8"/>
    <w:rsid w:val="0C596CE3"/>
    <w:rsid w:val="0C7C7FF7"/>
    <w:rsid w:val="0CC95618"/>
    <w:rsid w:val="0CD619C5"/>
    <w:rsid w:val="0CEF2A86"/>
    <w:rsid w:val="0D0C226C"/>
    <w:rsid w:val="0D2E7A52"/>
    <w:rsid w:val="0D7336B7"/>
    <w:rsid w:val="0E1364B9"/>
    <w:rsid w:val="0E515041"/>
    <w:rsid w:val="0E59465B"/>
    <w:rsid w:val="0E9E69EA"/>
    <w:rsid w:val="0EA343BD"/>
    <w:rsid w:val="0EBB1E69"/>
    <w:rsid w:val="0EC433EC"/>
    <w:rsid w:val="0EC95A70"/>
    <w:rsid w:val="0EEC4C26"/>
    <w:rsid w:val="0EFA41C5"/>
    <w:rsid w:val="0F196D6C"/>
    <w:rsid w:val="0F2C1D70"/>
    <w:rsid w:val="0F4A165B"/>
    <w:rsid w:val="0F900551"/>
    <w:rsid w:val="0FB65787"/>
    <w:rsid w:val="10757746"/>
    <w:rsid w:val="108D7BC8"/>
    <w:rsid w:val="10DE5F80"/>
    <w:rsid w:val="111872F6"/>
    <w:rsid w:val="11342B84"/>
    <w:rsid w:val="120174DD"/>
    <w:rsid w:val="123119FB"/>
    <w:rsid w:val="126522A8"/>
    <w:rsid w:val="126D4B79"/>
    <w:rsid w:val="12740E45"/>
    <w:rsid w:val="12823D4A"/>
    <w:rsid w:val="12F64A19"/>
    <w:rsid w:val="1301134F"/>
    <w:rsid w:val="1384217A"/>
    <w:rsid w:val="13B754E7"/>
    <w:rsid w:val="13C22524"/>
    <w:rsid w:val="13CE5F56"/>
    <w:rsid w:val="13CF0E28"/>
    <w:rsid w:val="13FD4C8D"/>
    <w:rsid w:val="1442722A"/>
    <w:rsid w:val="14565971"/>
    <w:rsid w:val="14863CD0"/>
    <w:rsid w:val="14B7078A"/>
    <w:rsid w:val="15145780"/>
    <w:rsid w:val="1543251A"/>
    <w:rsid w:val="157D1577"/>
    <w:rsid w:val="15A74143"/>
    <w:rsid w:val="15AD6D4F"/>
    <w:rsid w:val="15D24449"/>
    <w:rsid w:val="15E57BD8"/>
    <w:rsid w:val="1610756F"/>
    <w:rsid w:val="16162F60"/>
    <w:rsid w:val="16220ABF"/>
    <w:rsid w:val="162D4D4B"/>
    <w:rsid w:val="16B50524"/>
    <w:rsid w:val="16C94348"/>
    <w:rsid w:val="16E7773C"/>
    <w:rsid w:val="16FD2AEB"/>
    <w:rsid w:val="1719707D"/>
    <w:rsid w:val="17980D35"/>
    <w:rsid w:val="17C63DD6"/>
    <w:rsid w:val="17E16E35"/>
    <w:rsid w:val="17F92B49"/>
    <w:rsid w:val="17FF75B6"/>
    <w:rsid w:val="18153CE9"/>
    <w:rsid w:val="185760AF"/>
    <w:rsid w:val="18902AFC"/>
    <w:rsid w:val="18925339"/>
    <w:rsid w:val="18A07A1B"/>
    <w:rsid w:val="18B90B18"/>
    <w:rsid w:val="19224087"/>
    <w:rsid w:val="19AC781D"/>
    <w:rsid w:val="19C971F6"/>
    <w:rsid w:val="19EA6AAF"/>
    <w:rsid w:val="1A621F03"/>
    <w:rsid w:val="1A9778D5"/>
    <w:rsid w:val="1AD54ED1"/>
    <w:rsid w:val="1B0D1E49"/>
    <w:rsid w:val="1B6502E8"/>
    <w:rsid w:val="1B8551D9"/>
    <w:rsid w:val="1BCF41AF"/>
    <w:rsid w:val="1C071B9A"/>
    <w:rsid w:val="1C202C5C"/>
    <w:rsid w:val="1C2362A8"/>
    <w:rsid w:val="1C35495A"/>
    <w:rsid w:val="1C5620B0"/>
    <w:rsid w:val="1C6012AB"/>
    <w:rsid w:val="1C896BF6"/>
    <w:rsid w:val="1CA4563B"/>
    <w:rsid w:val="1CC13160"/>
    <w:rsid w:val="1CD756C3"/>
    <w:rsid w:val="1CE32BBA"/>
    <w:rsid w:val="1CEF68E8"/>
    <w:rsid w:val="1CF87735"/>
    <w:rsid w:val="1D0B0E01"/>
    <w:rsid w:val="1D4829CF"/>
    <w:rsid w:val="1D8B5D6B"/>
    <w:rsid w:val="1D8F0AC6"/>
    <w:rsid w:val="1DD75AD9"/>
    <w:rsid w:val="1DF12FC5"/>
    <w:rsid w:val="1DF543F0"/>
    <w:rsid w:val="1E1279E2"/>
    <w:rsid w:val="1E2B54D1"/>
    <w:rsid w:val="1F1D250F"/>
    <w:rsid w:val="1F2530F0"/>
    <w:rsid w:val="1F715E2C"/>
    <w:rsid w:val="1FA33A4B"/>
    <w:rsid w:val="1FA63F3C"/>
    <w:rsid w:val="1FCD4107"/>
    <w:rsid w:val="1FDD722B"/>
    <w:rsid w:val="1FE51565"/>
    <w:rsid w:val="1FF468DA"/>
    <w:rsid w:val="206D342C"/>
    <w:rsid w:val="20966865"/>
    <w:rsid w:val="20A57B44"/>
    <w:rsid w:val="217C26E3"/>
    <w:rsid w:val="21A850A8"/>
    <w:rsid w:val="21AA36F4"/>
    <w:rsid w:val="21B87126"/>
    <w:rsid w:val="22217C2D"/>
    <w:rsid w:val="2332179B"/>
    <w:rsid w:val="234A579B"/>
    <w:rsid w:val="238B1F5C"/>
    <w:rsid w:val="23CB5BA3"/>
    <w:rsid w:val="240920B7"/>
    <w:rsid w:val="241A61E3"/>
    <w:rsid w:val="24646FCC"/>
    <w:rsid w:val="248C5D39"/>
    <w:rsid w:val="24B23B32"/>
    <w:rsid w:val="24DB4ADC"/>
    <w:rsid w:val="25021CFB"/>
    <w:rsid w:val="25270C08"/>
    <w:rsid w:val="25292B82"/>
    <w:rsid w:val="258204E4"/>
    <w:rsid w:val="258F2285"/>
    <w:rsid w:val="2593130C"/>
    <w:rsid w:val="25A541DD"/>
    <w:rsid w:val="25B06DFF"/>
    <w:rsid w:val="25DE0E38"/>
    <w:rsid w:val="25F34F3E"/>
    <w:rsid w:val="26310A7E"/>
    <w:rsid w:val="26324D1C"/>
    <w:rsid w:val="26413EFB"/>
    <w:rsid w:val="26EC5E2D"/>
    <w:rsid w:val="271B23A8"/>
    <w:rsid w:val="27352457"/>
    <w:rsid w:val="274F43F6"/>
    <w:rsid w:val="27971D61"/>
    <w:rsid w:val="279E38CD"/>
    <w:rsid w:val="279E7DA2"/>
    <w:rsid w:val="279F5466"/>
    <w:rsid w:val="27A73A7F"/>
    <w:rsid w:val="27B14EDA"/>
    <w:rsid w:val="27B423F4"/>
    <w:rsid w:val="2818512F"/>
    <w:rsid w:val="28247DA2"/>
    <w:rsid w:val="283D1685"/>
    <w:rsid w:val="284F62C0"/>
    <w:rsid w:val="28697739"/>
    <w:rsid w:val="28D252DE"/>
    <w:rsid w:val="28D522B5"/>
    <w:rsid w:val="28E44DBD"/>
    <w:rsid w:val="28E57B18"/>
    <w:rsid w:val="28E97CE0"/>
    <w:rsid w:val="29037B8D"/>
    <w:rsid w:val="292F44DF"/>
    <w:rsid w:val="297E6110"/>
    <w:rsid w:val="29901BE6"/>
    <w:rsid w:val="299346F2"/>
    <w:rsid w:val="29952575"/>
    <w:rsid w:val="2A0B0229"/>
    <w:rsid w:val="2A5B0B35"/>
    <w:rsid w:val="2AA72352"/>
    <w:rsid w:val="2AE00186"/>
    <w:rsid w:val="2B086609"/>
    <w:rsid w:val="2B2067B7"/>
    <w:rsid w:val="2B571FE5"/>
    <w:rsid w:val="2B6360AE"/>
    <w:rsid w:val="2B850CA7"/>
    <w:rsid w:val="2B857627"/>
    <w:rsid w:val="2BFD3906"/>
    <w:rsid w:val="2C213105"/>
    <w:rsid w:val="2C630D27"/>
    <w:rsid w:val="2C6B7F24"/>
    <w:rsid w:val="2CD86C3B"/>
    <w:rsid w:val="2D215EAE"/>
    <w:rsid w:val="2D5165F7"/>
    <w:rsid w:val="2DBA719F"/>
    <w:rsid w:val="2E197D3C"/>
    <w:rsid w:val="2E557C68"/>
    <w:rsid w:val="2EBC08AC"/>
    <w:rsid w:val="2EF3437C"/>
    <w:rsid w:val="2EFF0321"/>
    <w:rsid w:val="2F1C0134"/>
    <w:rsid w:val="2F495180"/>
    <w:rsid w:val="2F8512FC"/>
    <w:rsid w:val="2FC71915"/>
    <w:rsid w:val="301559E6"/>
    <w:rsid w:val="305E5223"/>
    <w:rsid w:val="306727B0"/>
    <w:rsid w:val="30AD75DA"/>
    <w:rsid w:val="315259E2"/>
    <w:rsid w:val="31585A6F"/>
    <w:rsid w:val="315F25CD"/>
    <w:rsid w:val="318F6462"/>
    <w:rsid w:val="31AB0967"/>
    <w:rsid w:val="31E6097E"/>
    <w:rsid w:val="31F84007"/>
    <w:rsid w:val="322742B6"/>
    <w:rsid w:val="3240150B"/>
    <w:rsid w:val="32755101"/>
    <w:rsid w:val="32C43EEA"/>
    <w:rsid w:val="32CA2E65"/>
    <w:rsid w:val="33134B16"/>
    <w:rsid w:val="335E15EE"/>
    <w:rsid w:val="337627C5"/>
    <w:rsid w:val="33B93A41"/>
    <w:rsid w:val="33C85BF4"/>
    <w:rsid w:val="33FE167D"/>
    <w:rsid w:val="34240C50"/>
    <w:rsid w:val="34717497"/>
    <w:rsid w:val="34935F6B"/>
    <w:rsid w:val="34BF705E"/>
    <w:rsid w:val="34CC63EF"/>
    <w:rsid w:val="34EF2E94"/>
    <w:rsid w:val="350A41A2"/>
    <w:rsid w:val="358D5F18"/>
    <w:rsid w:val="35A818A1"/>
    <w:rsid w:val="35BB5A78"/>
    <w:rsid w:val="35E00459"/>
    <w:rsid w:val="35F26FC0"/>
    <w:rsid w:val="360956D2"/>
    <w:rsid w:val="36236589"/>
    <w:rsid w:val="36780099"/>
    <w:rsid w:val="367F755C"/>
    <w:rsid w:val="368D6C78"/>
    <w:rsid w:val="36CF7DED"/>
    <w:rsid w:val="36D55344"/>
    <w:rsid w:val="36DB4D28"/>
    <w:rsid w:val="36EF52AD"/>
    <w:rsid w:val="370B211B"/>
    <w:rsid w:val="37260E0A"/>
    <w:rsid w:val="372633C5"/>
    <w:rsid w:val="37882F48"/>
    <w:rsid w:val="379F0881"/>
    <w:rsid w:val="37A64BD4"/>
    <w:rsid w:val="37B07132"/>
    <w:rsid w:val="37B476A6"/>
    <w:rsid w:val="382C724E"/>
    <w:rsid w:val="384B2D29"/>
    <w:rsid w:val="3858175A"/>
    <w:rsid w:val="386126BF"/>
    <w:rsid w:val="38740160"/>
    <w:rsid w:val="38D25210"/>
    <w:rsid w:val="39106F82"/>
    <w:rsid w:val="39A32F0F"/>
    <w:rsid w:val="39DE46F9"/>
    <w:rsid w:val="39F2758E"/>
    <w:rsid w:val="3A202FB6"/>
    <w:rsid w:val="3A6639DD"/>
    <w:rsid w:val="3A745F5A"/>
    <w:rsid w:val="3A7B5311"/>
    <w:rsid w:val="3A9A1385"/>
    <w:rsid w:val="3AAE2460"/>
    <w:rsid w:val="3ACA408A"/>
    <w:rsid w:val="3ADF746D"/>
    <w:rsid w:val="3B0B7137"/>
    <w:rsid w:val="3B3E4C4E"/>
    <w:rsid w:val="3B702E61"/>
    <w:rsid w:val="3BB7110D"/>
    <w:rsid w:val="3BED2703"/>
    <w:rsid w:val="3C9E539A"/>
    <w:rsid w:val="3CC105E1"/>
    <w:rsid w:val="3D154B2B"/>
    <w:rsid w:val="3D202658"/>
    <w:rsid w:val="3D243725"/>
    <w:rsid w:val="3D560E68"/>
    <w:rsid w:val="3D8B18EC"/>
    <w:rsid w:val="3D9A1FCD"/>
    <w:rsid w:val="3D9B13AC"/>
    <w:rsid w:val="3DD26770"/>
    <w:rsid w:val="3DF06E33"/>
    <w:rsid w:val="3DF338D5"/>
    <w:rsid w:val="3E216694"/>
    <w:rsid w:val="3E2F3172"/>
    <w:rsid w:val="3E526EA2"/>
    <w:rsid w:val="3E727B60"/>
    <w:rsid w:val="3F0138C8"/>
    <w:rsid w:val="3F097401"/>
    <w:rsid w:val="3F3C175F"/>
    <w:rsid w:val="3F5D194E"/>
    <w:rsid w:val="3F7522F7"/>
    <w:rsid w:val="3F7B6278"/>
    <w:rsid w:val="3FB5178A"/>
    <w:rsid w:val="3FD61F02"/>
    <w:rsid w:val="404C1072"/>
    <w:rsid w:val="405D597D"/>
    <w:rsid w:val="40BF4BBE"/>
    <w:rsid w:val="40C31B3C"/>
    <w:rsid w:val="40C8729B"/>
    <w:rsid w:val="41033B9B"/>
    <w:rsid w:val="41197AF6"/>
    <w:rsid w:val="41345C9E"/>
    <w:rsid w:val="41764F49"/>
    <w:rsid w:val="41877DB6"/>
    <w:rsid w:val="422E6F56"/>
    <w:rsid w:val="42B9333F"/>
    <w:rsid w:val="42CE66BF"/>
    <w:rsid w:val="42DD32B5"/>
    <w:rsid w:val="42E43E03"/>
    <w:rsid w:val="440333DE"/>
    <w:rsid w:val="44200105"/>
    <w:rsid w:val="44351C70"/>
    <w:rsid w:val="446A2417"/>
    <w:rsid w:val="44D62303"/>
    <w:rsid w:val="44DB01A8"/>
    <w:rsid w:val="44E52970"/>
    <w:rsid w:val="453C3DB3"/>
    <w:rsid w:val="458B6AE9"/>
    <w:rsid w:val="45A14582"/>
    <w:rsid w:val="45A9529D"/>
    <w:rsid w:val="45BB265C"/>
    <w:rsid w:val="45D7708E"/>
    <w:rsid w:val="45EE77A4"/>
    <w:rsid w:val="45F65B10"/>
    <w:rsid w:val="461D5993"/>
    <w:rsid w:val="4668279C"/>
    <w:rsid w:val="4674757D"/>
    <w:rsid w:val="46A41E84"/>
    <w:rsid w:val="46F763F9"/>
    <w:rsid w:val="47044BF2"/>
    <w:rsid w:val="47287168"/>
    <w:rsid w:val="476E4B28"/>
    <w:rsid w:val="477D1D4B"/>
    <w:rsid w:val="47860F8A"/>
    <w:rsid w:val="47A114E5"/>
    <w:rsid w:val="47BA5463"/>
    <w:rsid w:val="47DE1152"/>
    <w:rsid w:val="48052B82"/>
    <w:rsid w:val="483D49AD"/>
    <w:rsid w:val="48C6289A"/>
    <w:rsid w:val="48D62118"/>
    <w:rsid w:val="48F646B7"/>
    <w:rsid w:val="491A2106"/>
    <w:rsid w:val="492C649F"/>
    <w:rsid w:val="49317924"/>
    <w:rsid w:val="49762D1D"/>
    <w:rsid w:val="49EC3FFA"/>
    <w:rsid w:val="4A520E9B"/>
    <w:rsid w:val="4ADA311C"/>
    <w:rsid w:val="4AF03C81"/>
    <w:rsid w:val="4B18172D"/>
    <w:rsid w:val="4B4224DC"/>
    <w:rsid w:val="4B7B5400"/>
    <w:rsid w:val="4B822EF1"/>
    <w:rsid w:val="4BA10DFA"/>
    <w:rsid w:val="4BAE52DF"/>
    <w:rsid w:val="4BC548F2"/>
    <w:rsid w:val="4C22358C"/>
    <w:rsid w:val="4C26570E"/>
    <w:rsid w:val="4C2A2BB8"/>
    <w:rsid w:val="4C3B35AC"/>
    <w:rsid w:val="4C5C3990"/>
    <w:rsid w:val="4C7B05D7"/>
    <w:rsid w:val="4D3A32CE"/>
    <w:rsid w:val="4D447CA9"/>
    <w:rsid w:val="4E121B55"/>
    <w:rsid w:val="4E976EE5"/>
    <w:rsid w:val="4EF13E61"/>
    <w:rsid w:val="4EFD0A57"/>
    <w:rsid w:val="4F1D6FBC"/>
    <w:rsid w:val="4F8104DD"/>
    <w:rsid w:val="4FBA06F6"/>
    <w:rsid w:val="500530F9"/>
    <w:rsid w:val="501E2A33"/>
    <w:rsid w:val="504D714E"/>
    <w:rsid w:val="50A15412"/>
    <w:rsid w:val="50EE039E"/>
    <w:rsid w:val="51791EEB"/>
    <w:rsid w:val="51907C69"/>
    <w:rsid w:val="519D3E2C"/>
    <w:rsid w:val="51E44E91"/>
    <w:rsid w:val="51F15F26"/>
    <w:rsid w:val="522D51B0"/>
    <w:rsid w:val="522E2CD6"/>
    <w:rsid w:val="524931BF"/>
    <w:rsid w:val="52885076"/>
    <w:rsid w:val="52D725C8"/>
    <w:rsid w:val="52E128C4"/>
    <w:rsid w:val="52EC23E7"/>
    <w:rsid w:val="53065135"/>
    <w:rsid w:val="536015B5"/>
    <w:rsid w:val="53870676"/>
    <w:rsid w:val="53CB4956"/>
    <w:rsid w:val="53D03945"/>
    <w:rsid w:val="54085ED4"/>
    <w:rsid w:val="54A35BFD"/>
    <w:rsid w:val="54E446CA"/>
    <w:rsid w:val="550F319D"/>
    <w:rsid w:val="5520724E"/>
    <w:rsid w:val="5559450E"/>
    <w:rsid w:val="55807397"/>
    <w:rsid w:val="563A3272"/>
    <w:rsid w:val="56444619"/>
    <w:rsid w:val="565C6063"/>
    <w:rsid w:val="5688507B"/>
    <w:rsid w:val="568D3702"/>
    <w:rsid w:val="56A417B8"/>
    <w:rsid w:val="56F00EA2"/>
    <w:rsid w:val="57023715"/>
    <w:rsid w:val="57284198"/>
    <w:rsid w:val="57410513"/>
    <w:rsid w:val="57CB57BA"/>
    <w:rsid w:val="5845069E"/>
    <w:rsid w:val="58601F8B"/>
    <w:rsid w:val="58B02697"/>
    <w:rsid w:val="58B36906"/>
    <w:rsid w:val="58BA3515"/>
    <w:rsid w:val="58D4602A"/>
    <w:rsid w:val="58E84D56"/>
    <w:rsid w:val="58E862D4"/>
    <w:rsid w:val="58FA6008"/>
    <w:rsid w:val="59161B2D"/>
    <w:rsid w:val="593A649D"/>
    <w:rsid w:val="596A6CE9"/>
    <w:rsid w:val="59796F2C"/>
    <w:rsid w:val="59837799"/>
    <w:rsid w:val="599D38B6"/>
    <w:rsid w:val="5A0C3E95"/>
    <w:rsid w:val="5AAE0E58"/>
    <w:rsid w:val="5AB26B9A"/>
    <w:rsid w:val="5ADA7E9F"/>
    <w:rsid w:val="5AE74C75"/>
    <w:rsid w:val="5B5437AD"/>
    <w:rsid w:val="5B6B27AA"/>
    <w:rsid w:val="5B871DD5"/>
    <w:rsid w:val="5B9D0BD4"/>
    <w:rsid w:val="5BA939FE"/>
    <w:rsid w:val="5C01084E"/>
    <w:rsid w:val="5C863EE4"/>
    <w:rsid w:val="5CC865AB"/>
    <w:rsid w:val="5CD47B75"/>
    <w:rsid w:val="5CE40B61"/>
    <w:rsid w:val="5CF61539"/>
    <w:rsid w:val="5DA32F81"/>
    <w:rsid w:val="5E19645E"/>
    <w:rsid w:val="5E2D5B8B"/>
    <w:rsid w:val="5E4D2DE5"/>
    <w:rsid w:val="5E6D2D5D"/>
    <w:rsid w:val="5E7303EE"/>
    <w:rsid w:val="5E7D301B"/>
    <w:rsid w:val="5E916B12"/>
    <w:rsid w:val="5EBC0F13"/>
    <w:rsid w:val="5EED3D56"/>
    <w:rsid w:val="5EF207A3"/>
    <w:rsid w:val="604420F7"/>
    <w:rsid w:val="604E1113"/>
    <w:rsid w:val="606350ED"/>
    <w:rsid w:val="60845DB1"/>
    <w:rsid w:val="60B92AA1"/>
    <w:rsid w:val="614147D4"/>
    <w:rsid w:val="614D6779"/>
    <w:rsid w:val="61AD3290"/>
    <w:rsid w:val="61D91338"/>
    <w:rsid w:val="625B44ED"/>
    <w:rsid w:val="628D3A49"/>
    <w:rsid w:val="62D66B7E"/>
    <w:rsid w:val="62D86059"/>
    <w:rsid w:val="62EF2EC5"/>
    <w:rsid w:val="63065CD5"/>
    <w:rsid w:val="631F7D9D"/>
    <w:rsid w:val="634D24BC"/>
    <w:rsid w:val="63F0428F"/>
    <w:rsid w:val="640A38E9"/>
    <w:rsid w:val="641E6BB9"/>
    <w:rsid w:val="64393E88"/>
    <w:rsid w:val="644B7DC5"/>
    <w:rsid w:val="645E0FE3"/>
    <w:rsid w:val="649B41FB"/>
    <w:rsid w:val="64A6423E"/>
    <w:rsid w:val="653463FD"/>
    <w:rsid w:val="65545D09"/>
    <w:rsid w:val="65856C59"/>
    <w:rsid w:val="659444BC"/>
    <w:rsid w:val="65C71020"/>
    <w:rsid w:val="65EF3706"/>
    <w:rsid w:val="66047986"/>
    <w:rsid w:val="66660838"/>
    <w:rsid w:val="6686712D"/>
    <w:rsid w:val="66F04CD2"/>
    <w:rsid w:val="67380B86"/>
    <w:rsid w:val="673E54E3"/>
    <w:rsid w:val="676905E0"/>
    <w:rsid w:val="67941356"/>
    <w:rsid w:val="679D586C"/>
    <w:rsid w:val="67BC2E06"/>
    <w:rsid w:val="67D73D17"/>
    <w:rsid w:val="67E4410B"/>
    <w:rsid w:val="68460921"/>
    <w:rsid w:val="685D7E97"/>
    <w:rsid w:val="68723B27"/>
    <w:rsid w:val="687C2595"/>
    <w:rsid w:val="689C49E5"/>
    <w:rsid w:val="68AC5B4A"/>
    <w:rsid w:val="68C61A70"/>
    <w:rsid w:val="68EB152D"/>
    <w:rsid w:val="691A195A"/>
    <w:rsid w:val="692C02AA"/>
    <w:rsid w:val="6951516B"/>
    <w:rsid w:val="69E464FB"/>
    <w:rsid w:val="69EC1CE2"/>
    <w:rsid w:val="6A002D52"/>
    <w:rsid w:val="6A31115D"/>
    <w:rsid w:val="6A3A3AA0"/>
    <w:rsid w:val="6A562B35"/>
    <w:rsid w:val="6A5E6C6D"/>
    <w:rsid w:val="6AE207AA"/>
    <w:rsid w:val="6AE80FC6"/>
    <w:rsid w:val="6B146340"/>
    <w:rsid w:val="6B36327F"/>
    <w:rsid w:val="6BA50055"/>
    <w:rsid w:val="6BD82498"/>
    <w:rsid w:val="6C494E84"/>
    <w:rsid w:val="6C5D26DE"/>
    <w:rsid w:val="6CCC1187"/>
    <w:rsid w:val="6D3F7C03"/>
    <w:rsid w:val="6D846504"/>
    <w:rsid w:val="6E284C79"/>
    <w:rsid w:val="6E8C6995"/>
    <w:rsid w:val="6EAE0FCF"/>
    <w:rsid w:val="6EAF000C"/>
    <w:rsid w:val="6EC407F2"/>
    <w:rsid w:val="6F2C2778"/>
    <w:rsid w:val="6F927241"/>
    <w:rsid w:val="6F9A1D97"/>
    <w:rsid w:val="6FA31148"/>
    <w:rsid w:val="702A28D7"/>
    <w:rsid w:val="70375F80"/>
    <w:rsid w:val="703B2162"/>
    <w:rsid w:val="70E62CA2"/>
    <w:rsid w:val="710C185E"/>
    <w:rsid w:val="716314E1"/>
    <w:rsid w:val="717402AD"/>
    <w:rsid w:val="717F6C52"/>
    <w:rsid w:val="724F4877"/>
    <w:rsid w:val="72E12916"/>
    <w:rsid w:val="731E791C"/>
    <w:rsid w:val="732E2A9E"/>
    <w:rsid w:val="735B04DA"/>
    <w:rsid w:val="73834A99"/>
    <w:rsid w:val="738A792C"/>
    <w:rsid w:val="739A2BEF"/>
    <w:rsid w:val="73B36154"/>
    <w:rsid w:val="73B44CC0"/>
    <w:rsid w:val="73C179F6"/>
    <w:rsid w:val="744D1B22"/>
    <w:rsid w:val="74510D7A"/>
    <w:rsid w:val="749809E1"/>
    <w:rsid w:val="74B84955"/>
    <w:rsid w:val="74C54149"/>
    <w:rsid w:val="74F139B3"/>
    <w:rsid w:val="74F22785"/>
    <w:rsid w:val="75081F05"/>
    <w:rsid w:val="750E0A19"/>
    <w:rsid w:val="75825591"/>
    <w:rsid w:val="75AB1EBF"/>
    <w:rsid w:val="75CA7D19"/>
    <w:rsid w:val="76285B0A"/>
    <w:rsid w:val="76642551"/>
    <w:rsid w:val="767F3598"/>
    <w:rsid w:val="76814586"/>
    <w:rsid w:val="76876CD5"/>
    <w:rsid w:val="76B24CF4"/>
    <w:rsid w:val="77071E2C"/>
    <w:rsid w:val="7713033F"/>
    <w:rsid w:val="778F0DF4"/>
    <w:rsid w:val="782611FD"/>
    <w:rsid w:val="78426038"/>
    <w:rsid w:val="78C52B3D"/>
    <w:rsid w:val="78E026CC"/>
    <w:rsid w:val="78F42B0F"/>
    <w:rsid w:val="79426EE3"/>
    <w:rsid w:val="79627C4B"/>
    <w:rsid w:val="7A6B55F5"/>
    <w:rsid w:val="7A88616B"/>
    <w:rsid w:val="7AC837C9"/>
    <w:rsid w:val="7AE45987"/>
    <w:rsid w:val="7B071424"/>
    <w:rsid w:val="7B14665D"/>
    <w:rsid w:val="7B6018A2"/>
    <w:rsid w:val="7B6C46EB"/>
    <w:rsid w:val="7BA23C69"/>
    <w:rsid w:val="7BD83B2F"/>
    <w:rsid w:val="7BE97AEA"/>
    <w:rsid w:val="7C266648"/>
    <w:rsid w:val="7C296138"/>
    <w:rsid w:val="7C4225BA"/>
    <w:rsid w:val="7C473E9F"/>
    <w:rsid w:val="7C686C61"/>
    <w:rsid w:val="7C841D1D"/>
    <w:rsid w:val="7CA44D11"/>
    <w:rsid w:val="7CAA54CB"/>
    <w:rsid w:val="7CB67E0F"/>
    <w:rsid w:val="7CCC2BA5"/>
    <w:rsid w:val="7CD653BD"/>
    <w:rsid w:val="7CF4523D"/>
    <w:rsid w:val="7D3A0AAF"/>
    <w:rsid w:val="7DA43BDF"/>
    <w:rsid w:val="7DBD4D8A"/>
    <w:rsid w:val="7DDC68BE"/>
    <w:rsid w:val="7E527BC8"/>
    <w:rsid w:val="7E5C298A"/>
    <w:rsid w:val="7E5C45A3"/>
    <w:rsid w:val="7E7B5C43"/>
    <w:rsid w:val="7E8B4E88"/>
    <w:rsid w:val="7EB45D48"/>
    <w:rsid w:val="7EC01A44"/>
    <w:rsid w:val="7EF766B2"/>
    <w:rsid w:val="7F933E93"/>
    <w:rsid w:val="7FE372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name="toc 3"/>
    <w:lsdException w:qFormat="1" w:unhideWhenUsed="0" w:uiPriority="39" w:name="toc 4"/>
    <w:lsdException w:qFormat="1" w:unhideWhenUsed="0" w:uiPriority="39" w:name="toc 5"/>
    <w:lsdException w:qFormat="1" w:unhideWhenUsed="0" w:uiPriority="39" w:name="toc 6"/>
    <w:lsdException w:qFormat="1" w:unhideWhenUsed="0" w:uiPriority="39" w:name="toc 7"/>
    <w:lsdException w:qFormat="1" w:unhideWhenUsed="0" w:uiPriority="39" w:name="toc 8"/>
    <w:lsdException w:qFormat="1" w:unhideWhenUsed="0" w:uiPriority="39" w:name="toc 9"/>
    <w:lsdException w:qFormat="1" w:unhideWhenUsed="0" w:uiPriority="0" w:semiHidden="0" w:name="Normal Indent"/>
    <w:lsdException w:qFormat="1"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qFormat="1" w:unhideWhenUsed="0" w:uiPriority="99" w:name="table of figures"/>
    <w:lsdException w:unhideWhenUsed="0" w:uiPriority="0" w:semiHidden="0" w:name="envelope address"/>
    <w:lsdException w:unhideWhenUsed="0" w:uiPriority="0" w:semiHidden="0" w:name="envelope return"/>
    <w:lsdException w:qFormat="1" w:uiPriority="99" w:name="footnote reference"/>
    <w:lsdException w:qFormat="1" w:unhideWhenUsed="0" w:uiPriority="99"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qFormat="1" w:unhideWhenUsed="0" w:uiPriority="99" w:semiHidden="0" w:name="Salutation"/>
    <w:lsdException w:qFormat="1" w:unhideWhenUsed="0" w:uiPriority="99" w:semiHidden="0" w:name="Date"/>
    <w:lsdException w:qFormat="1"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autoRedefine/>
    <w:qFormat/>
    <w:uiPriority w:val="9"/>
    <w:pPr>
      <w:keepNext/>
      <w:keepLines/>
      <w:autoSpaceDE w:val="0"/>
      <w:autoSpaceDN w:val="0"/>
      <w:adjustRightInd w:val="0"/>
      <w:spacing w:before="340" w:after="330" w:line="578" w:lineRule="atLeast"/>
      <w:jc w:val="center"/>
      <w:outlineLvl w:val="0"/>
    </w:pPr>
    <w:rPr>
      <w:rFonts w:ascii="宋体"/>
      <w:b/>
      <w:kern w:val="0"/>
      <w:sz w:val="44"/>
      <w:szCs w:val="20"/>
    </w:rPr>
  </w:style>
  <w:style w:type="paragraph" w:styleId="3">
    <w:name w:val="heading 2"/>
    <w:basedOn w:val="1"/>
    <w:next w:val="1"/>
    <w:link w:val="62"/>
    <w:autoRedefine/>
    <w:qFormat/>
    <w:uiPriority w:val="9"/>
    <w:pPr>
      <w:keepNext/>
      <w:keepLines/>
      <w:spacing w:before="260" w:after="260" w:line="416" w:lineRule="auto"/>
      <w:outlineLvl w:val="1"/>
    </w:pPr>
    <w:rPr>
      <w:rFonts w:ascii="Arial" w:hAnsi="Arial" w:eastAsia="黑体"/>
      <w:b/>
      <w:sz w:val="32"/>
      <w:szCs w:val="20"/>
    </w:rPr>
  </w:style>
  <w:style w:type="paragraph" w:styleId="4">
    <w:name w:val="heading 3"/>
    <w:basedOn w:val="1"/>
    <w:next w:val="1"/>
    <w:link w:val="63"/>
    <w:autoRedefine/>
    <w:qFormat/>
    <w:uiPriority w:val="9"/>
    <w:pPr>
      <w:keepNext/>
      <w:keepLines/>
      <w:spacing w:before="260" w:after="260" w:line="360" w:lineRule="auto"/>
      <w:jc w:val="center"/>
      <w:outlineLvl w:val="2"/>
    </w:pPr>
    <w:rPr>
      <w:b/>
      <w:sz w:val="32"/>
      <w:szCs w:val="20"/>
    </w:rPr>
  </w:style>
  <w:style w:type="paragraph" w:styleId="5">
    <w:name w:val="heading 4"/>
    <w:basedOn w:val="1"/>
    <w:next w:val="1"/>
    <w:link w:val="64"/>
    <w:autoRedefine/>
    <w:qFormat/>
    <w:uiPriority w:val="9"/>
    <w:pPr>
      <w:keepNext/>
      <w:keepLines/>
      <w:tabs>
        <w:tab w:val="left" w:pos="864"/>
      </w:tabs>
      <w:adjustRightInd w:val="0"/>
      <w:snapToGrid w:val="0"/>
      <w:spacing w:before="280" w:after="290"/>
      <w:ind w:left="864" w:hanging="144"/>
      <w:outlineLvl w:val="3"/>
    </w:pPr>
    <w:rPr>
      <w:b/>
      <w:kern w:val="0"/>
      <w:sz w:val="28"/>
      <w:szCs w:val="20"/>
    </w:rPr>
  </w:style>
  <w:style w:type="paragraph" w:styleId="6">
    <w:name w:val="heading 5"/>
    <w:basedOn w:val="1"/>
    <w:next w:val="1"/>
    <w:link w:val="65"/>
    <w:autoRedefine/>
    <w:qFormat/>
    <w:uiPriority w:val="9"/>
    <w:pPr>
      <w:keepNext/>
      <w:outlineLvl w:val="4"/>
    </w:pPr>
    <w:rPr>
      <w:rFonts w:ascii="宋体" w:hAnsi="宋体"/>
      <w:b/>
      <w:sz w:val="24"/>
      <w:szCs w:val="20"/>
    </w:rPr>
  </w:style>
  <w:style w:type="paragraph" w:styleId="7">
    <w:name w:val="heading 6"/>
    <w:basedOn w:val="1"/>
    <w:next w:val="1"/>
    <w:link w:val="66"/>
    <w:autoRedefine/>
    <w:qFormat/>
    <w:uiPriority w:val="9"/>
    <w:pPr>
      <w:keepNext/>
      <w:spacing w:line="500" w:lineRule="exact"/>
      <w:jc w:val="center"/>
      <w:outlineLvl w:val="5"/>
    </w:pPr>
    <w:rPr>
      <w:rFonts w:ascii="宋体" w:hAnsi="宋体"/>
      <w:b/>
      <w:sz w:val="30"/>
      <w:szCs w:val="20"/>
    </w:rPr>
  </w:style>
  <w:style w:type="paragraph" w:styleId="8">
    <w:name w:val="heading 7"/>
    <w:basedOn w:val="1"/>
    <w:next w:val="1"/>
    <w:link w:val="67"/>
    <w:autoRedefine/>
    <w:qFormat/>
    <w:uiPriority w:val="9"/>
    <w:pPr>
      <w:keepNext/>
      <w:keepLines/>
      <w:spacing w:before="240" w:after="64"/>
      <w:outlineLvl w:val="6"/>
    </w:pPr>
    <w:rPr>
      <w:sz w:val="24"/>
      <w:szCs w:val="20"/>
    </w:rPr>
  </w:style>
  <w:style w:type="paragraph" w:styleId="9">
    <w:name w:val="heading 8"/>
    <w:basedOn w:val="1"/>
    <w:next w:val="1"/>
    <w:link w:val="68"/>
    <w:autoRedefine/>
    <w:qFormat/>
    <w:uiPriority w:val="9"/>
    <w:pPr>
      <w:keepNext/>
      <w:keepLines/>
      <w:spacing w:before="240" w:after="64"/>
      <w:outlineLvl w:val="7"/>
    </w:pPr>
    <w:rPr>
      <w:rFonts w:ascii="Arial" w:hAnsi="Arial" w:eastAsia="黑体"/>
      <w:sz w:val="24"/>
      <w:szCs w:val="20"/>
    </w:rPr>
  </w:style>
  <w:style w:type="paragraph" w:styleId="10">
    <w:name w:val="heading 9"/>
    <w:basedOn w:val="1"/>
    <w:next w:val="1"/>
    <w:link w:val="69"/>
    <w:autoRedefine/>
    <w:qFormat/>
    <w:uiPriority w:val="9"/>
    <w:pPr>
      <w:keepNext/>
      <w:keepLines/>
      <w:spacing w:before="240" w:after="64"/>
      <w:outlineLvl w:val="8"/>
    </w:pPr>
    <w:rPr>
      <w:rFonts w:ascii="Arial" w:hAnsi="Arial" w:eastAsia="黑体"/>
      <w:szCs w:val="20"/>
    </w:rPr>
  </w:style>
  <w:style w:type="character" w:default="1" w:styleId="51">
    <w:name w:val="Default Paragraph Font"/>
    <w:autoRedefine/>
    <w:semiHidden/>
    <w:unhideWhenUsed/>
    <w:qFormat/>
    <w:uiPriority w:val="1"/>
  </w:style>
  <w:style w:type="table" w:default="1" w:styleId="49">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semiHidden/>
    <w:qFormat/>
    <w:uiPriority w:val="39"/>
    <w:pPr>
      <w:ind w:left="1260"/>
      <w:jc w:val="left"/>
    </w:pPr>
    <w:rPr>
      <w:sz w:val="18"/>
      <w:szCs w:val="18"/>
    </w:rPr>
  </w:style>
  <w:style w:type="paragraph" w:styleId="12">
    <w:name w:val="Normal Indent"/>
    <w:basedOn w:val="1"/>
    <w:link w:val="70"/>
    <w:autoRedefine/>
    <w:qFormat/>
    <w:uiPriority w:val="0"/>
    <w:pPr>
      <w:ind w:firstLine="420"/>
    </w:pPr>
    <w:rPr>
      <w:szCs w:val="20"/>
    </w:rPr>
  </w:style>
  <w:style w:type="paragraph" w:styleId="13">
    <w:name w:val="caption"/>
    <w:basedOn w:val="1"/>
    <w:next w:val="1"/>
    <w:autoRedefine/>
    <w:qFormat/>
    <w:uiPriority w:val="35"/>
    <w:pPr>
      <w:spacing w:before="120" w:after="120" w:line="320" w:lineRule="atLeast"/>
      <w:jc w:val="center"/>
    </w:pPr>
    <w:rPr>
      <w:sz w:val="18"/>
      <w:szCs w:val="18"/>
    </w:rPr>
  </w:style>
  <w:style w:type="paragraph" w:styleId="14">
    <w:name w:val="Document Map"/>
    <w:basedOn w:val="1"/>
    <w:link w:val="71"/>
    <w:autoRedefine/>
    <w:semiHidden/>
    <w:qFormat/>
    <w:uiPriority w:val="99"/>
    <w:pPr>
      <w:shd w:val="clear" w:color="auto" w:fill="000080"/>
    </w:pPr>
    <w:rPr>
      <w:sz w:val="24"/>
      <w:szCs w:val="20"/>
    </w:rPr>
  </w:style>
  <w:style w:type="paragraph" w:styleId="15">
    <w:name w:val="toa heading"/>
    <w:basedOn w:val="1"/>
    <w:next w:val="1"/>
    <w:autoRedefine/>
    <w:semiHidden/>
    <w:qFormat/>
    <w:uiPriority w:val="99"/>
    <w:pPr>
      <w:widowControl/>
      <w:spacing w:before="120" w:after="200" w:line="276" w:lineRule="auto"/>
      <w:jc w:val="left"/>
    </w:pPr>
    <w:rPr>
      <w:rFonts w:ascii="Arial" w:hAnsi="Arial" w:cs="Arial"/>
      <w:kern w:val="0"/>
      <w:sz w:val="24"/>
      <w:szCs w:val="22"/>
      <w:lang w:eastAsia="en-US"/>
    </w:rPr>
  </w:style>
  <w:style w:type="paragraph" w:styleId="16">
    <w:name w:val="annotation text"/>
    <w:basedOn w:val="1"/>
    <w:link w:val="72"/>
    <w:autoRedefine/>
    <w:semiHidden/>
    <w:qFormat/>
    <w:uiPriority w:val="99"/>
    <w:pPr>
      <w:jc w:val="left"/>
    </w:pPr>
    <w:rPr>
      <w:sz w:val="24"/>
      <w:szCs w:val="20"/>
    </w:rPr>
  </w:style>
  <w:style w:type="paragraph" w:styleId="17">
    <w:name w:val="Salutation"/>
    <w:basedOn w:val="1"/>
    <w:next w:val="1"/>
    <w:link w:val="73"/>
    <w:autoRedefine/>
    <w:qFormat/>
    <w:uiPriority w:val="99"/>
  </w:style>
  <w:style w:type="paragraph" w:styleId="18">
    <w:name w:val="Body Text 3"/>
    <w:basedOn w:val="1"/>
    <w:link w:val="74"/>
    <w:autoRedefine/>
    <w:qFormat/>
    <w:uiPriority w:val="99"/>
    <w:pPr>
      <w:widowControl/>
      <w:spacing w:after="200" w:line="276" w:lineRule="auto"/>
      <w:jc w:val="left"/>
    </w:pPr>
    <w:rPr>
      <w:color w:val="FF00FF"/>
      <w:kern w:val="0"/>
      <w:sz w:val="22"/>
      <w:szCs w:val="20"/>
      <w:lang w:eastAsia="en-US"/>
    </w:rPr>
  </w:style>
  <w:style w:type="paragraph" w:styleId="19">
    <w:name w:val="Body Text"/>
    <w:basedOn w:val="1"/>
    <w:link w:val="60"/>
    <w:autoRedefine/>
    <w:qFormat/>
    <w:uiPriority w:val="0"/>
    <w:pPr>
      <w:spacing w:after="120"/>
    </w:pPr>
    <w:rPr>
      <w:sz w:val="24"/>
      <w:szCs w:val="20"/>
    </w:rPr>
  </w:style>
  <w:style w:type="paragraph" w:styleId="20">
    <w:name w:val="Body Text Indent"/>
    <w:basedOn w:val="1"/>
    <w:link w:val="75"/>
    <w:autoRedefine/>
    <w:qFormat/>
    <w:uiPriority w:val="99"/>
    <w:pPr>
      <w:ind w:left="560"/>
    </w:pPr>
    <w:rPr>
      <w:sz w:val="24"/>
      <w:szCs w:val="20"/>
    </w:rPr>
  </w:style>
  <w:style w:type="paragraph" w:styleId="21">
    <w:name w:val="Block Text"/>
    <w:basedOn w:val="1"/>
    <w:autoRedefine/>
    <w:qFormat/>
    <w:uiPriority w:val="99"/>
    <w:pPr>
      <w:autoSpaceDE w:val="0"/>
      <w:autoSpaceDN w:val="0"/>
      <w:adjustRightInd w:val="0"/>
      <w:spacing w:line="500" w:lineRule="exact"/>
      <w:ind w:left="391" w:right="246"/>
    </w:pPr>
    <w:rPr>
      <w:rFonts w:ascii="仿宋_GB2312" w:eastAsia="仿宋_GB2312"/>
      <w:kern w:val="0"/>
      <w:sz w:val="24"/>
    </w:rPr>
  </w:style>
  <w:style w:type="paragraph" w:styleId="22">
    <w:name w:val="toc 5"/>
    <w:basedOn w:val="1"/>
    <w:next w:val="1"/>
    <w:autoRedefine/>
    <w:semiHidden/>
    <w:qFormat/>
    <w:uiPriority w:val="39"/>
    <w:pPr>
      <w:ind w:left="840"/>
      <w:jc w:val="left"/>
    </w:pPr>
    <w:rPr>
      <w:sz w:val="18"/>
      <w:szCs w:val="18"/>
    </w:rPr>
  </w:style>
  <w:style w:type="paragraph" w:styleId="23">
    <w:name w:val="toc 3"/>
    <w:basedOn w:val="1"/>
    <w:next w:val="1"/>
    <w:autoRedefine/>
    <w:semiHidden/>
    <w:qFormat/>
    <w:uiPriority w:val="39"/>
    <w:pPr>
      <w:ind w:left="420"/>
      <w:jc w:val="left"/>
    </w:pPr>
    <w:rPr>
      <w:i/>
      <w:iCs/>
      <w:sz w:val="20"/>
      <w:szCs w:val="20"/>
    </w:rPr>
  </w:style>
  <w:style w:type="paragraph" w:styleId="24">
    <w:name w:val="Plain Text"/>
    <w:basedOn w:val="1"/>
    <w:next w:val="1"/>
    <w:link w:val="76"/>
    <w:autoRedefine/>
    <w:qFormat/>
    <w:uiPriority w:val="0"/>
    <w:rPr>
      <w:rFonts w:ascii="宋体" w:hAnsi="Courier New"/>
      <w:szCs w:val="20"/>
    </w:rPr>
  </w:style>
  <w:style w:type="paragraph" w:styleId="25">
    <w:name w:val="toc 8"/>
    <w:basedOn w:val="1"/>
    <w:next w:val="1"/>
    <w:autoRedefine/>
    <w:semiHidden/>
    <w:qFormat/>
    <w:uiPriority w:val="39"/>
    <w:pPr>
      <w:ind w:left="1470"/>
      <w:jc w:val="left"/>
    </w:pPr>
    <w:rPr>
      <w:sz w:val="18"/>
      <w:szCs w:val="18"/>
    </w:rPr>
  </w:style>
  <w:style w:type="paragraph" w:styleId="26">
    <w:name w:val="Date"/>
    <w:basedOn w:val="1"/>
    <w:next w:val="1"/>
    <w:link w:val="77"/>
    <w:autoRedefine/>
    <w:qFormat/>
    <w:uiPriority w:val="99"/>
    <w:rPr>
      <w:szCs w:val="20"/>
    </w:rPr>
  </w:style>
  <w:style w:type="paragraph" w:styleId="27">
    <w:name w:val="Body Text Indent 2"/>
    <w:basedOn w:val="1"/>
    <w:link w:val="78"/>
    <w:autoRedefine/>
    <w:qFormat/>
    <w:uiPriority w:val="99"/>
    <w:pPr>
      <w:spacing w:line="480" w:lineRule="auto"/>
      <w:ind w:firstLine="540" w:firstLineChars="225"/>
    </w:pPr>
    <w:rPr>
      <w:rFonts w:eastAsia="仿宋_GB2312"/>
      <w:sz w:val="24"/>
      <w:szCs w:val="20"/>
    </w:rPr>
  </w:style>
  <w:style w:type="paragraph" w:styleId="28">
    <w:name w:val="Balloon Text"/>
    <w:basedOn w:val="1"/>
    <w:link w:val="79"/>
    <w:autoRedefine/>
    <w:semiHidden/>
    <w:qFormat/>
    <w:uiPriority w:val="99"/>
    <w:rPr>
      <w:sz w:val="18"/>
      <w:szCs w:val="20"/>
    </w:rPr>
  </w:style>
  <w:style w:type="paragraph" w:styleId="29">
    <w:name w:val="footer"/>
    <w:basedOn w:val="1"/>
    <w:link w:val="80"/>
    <w:autoRedefine/>
    <w:qFormat/>
    <w:uiPriority w:val="99"/>
    <w:pPr>
      <w:tabs>
        <w:tab w:val="center" w:pos="4153"/>
        <w:tab w:val="right" w:pos="8306"/>
      </w:tabs>
      <w:snapToGrid w:val="0"/>
      <w:jc w:val="left"/>
    </w:pPr>
    <w:rPr>
      <w:sz w:val="18"/>
      <w:szCs w:val="20"/>
    </w:rPr>
  </w:style>
  <w:style w:type="paragraph" w:styleId="30">
    <w:name w:val="header"/>
    <w:basedOn w:val="1"/>
    <w:next w:val="1"/>
    <w:link w:val="81"/>
    <w:autoRedefine/>
    <w:qFormat/>
    <w:uiPriority w:val="99"/>
    <w:pPr>
      <w:pBdr>
        <w:bottom w:val="single" w:color="auto" w:sz="6" w:space="1"/>
      </w:pBdr>
      <w:tabs>
        <w:tab w:val="center" w:pos="4153"/>
        <w:tab w:val="right" w:pos="8306"/>
      </w:tabs>
      <w:snapToGrid w:val="0"/>
      <w:jc w:val="center"/>
    </w:pPr>
    <w:rPr>
      <w:sz w:val="18"/>
      <w:szCs w:val="20"/>
    </w:rPr>
  </w:style>
  <w:style w:type="paragraph" w:styleId="31">
    <w:name w:val="toc 1"/>
    <w:basedOn w:val="1"/>
    <w:next w:val="1"/>
    <w:autoRedefine/>
    <w:qFormat/>
    <w:uiPriority w:val="39"/>
    <w:pPr>
      <w:spacing w:before="120" w:after="120"/>
      <w:jc w:val="left"/>
    </w:pPr>
    <w:rPr>
      <w:b/>
      <w:bCs/>
      <w:caps/>
      <w:sz w:val="20"/>
      <w:szCs w:val="20"/>
    </w:rPr>
  </w:style>
  <w:style w:type="paragraph" w:styleId="32">
    <w:name w:val="toc 4"/>
    <w:basedOn w:val="1"/>
    <w:next w:val="1"/>
    <w:autoRedefine/>
    <w:semiHidden/>
    <w:qFormat/>
    <w:uiPriority w:val="39"/>
    <w:pPr>
      <w:ind w:left="630"/>
      <w:jc w:val="left"/>
    </w:pPr>
    <w:rPr>
      <w:sz w:val="18"/>
      <w:szCs w:val="18"/>
    </w:rPr>
  </w:style>
  <w:style w:type="paragraph" w:styleId="33">
    <w:name w:val="Subtitle"/>
    <w:basedOn w:val="1"/>
    <w:next w:val="1"/>
    <w:link w:val="82"/>
    <w:autoRedefine/>
    <w:qFormat/>
    <w:uiPriority w:val="0"/>
    <w:pPr>
      <w:spacing w:before="240" w:after="60" w:line="312" w:lineRule="auto"/>
      <w:jc w:val="center"/>
      <w:outlineLvl w:val="1"/>
    </w:pPr>
    <w:rPr>
      <w:rFonts w:ascii="Cambria" w:hAnsi="Cambria"/>
      <w:b/>
      <w:kern w:val="28"/>
      <w:sz w:val="32"/>
      <w:szCs w:val="20"/>
    </w:rPr>
  </w:style>
  <w:style w:type="paragraph" w:styleId="34">
    <w:name w:val="List"/>
    <w:basedOn w:val="19"/>
    <w:autoRedefine/>
    <w:qFormat/>
    <w:uiPriority w:val="99"/>
    <w:pPr>
      <w:suppressAutoHyphens/>
    </w:pPr>
    <w:rPr>
      <w:kern w:val="1"/>
      <w:lang w:eastAsia="ar-SA"/>
    </w:rPr>
  </w:style>
  <w:style w:type="paragraph" w:styleId="35">
    <w:name w:val="footnote text"/>
    <w:basedOn w:val="1"/>
    <w:autoRedefine/>
    <w:semiHidden/>
    <w:unhideWhenUsed/>
    <w:qFormat/>
    <w:uiPriority w:val="99"/>
    <w:pPr>
      <w:snapToGrid w:val="0"/>
      <w:jc w:val="left"/>
    </w:pPr>
    <w:rPr>
      <w:sz w:val="18"/>
      <w:szCs w:val="18"/>
    </w:rPr>
  </w:style>
  <w:style w:type="paragraph" w:styleId="36">
    <w:name w:val="toc 6"/>
    <w:basedOn w:val="1"/>
    <w:next w:val="1"/>
    <w:autoRedefine/>
    <w:semiHidden/>
    <w:qFormat/>
    <w:uiPriority w:val="39"/>
    <w:pPr>
      <w:ind w:left="1050"/>
      <w:jc w:val="left"/>
    </w:pPr>
    <w:rPr>
      <w:sz w:val="18"/>
      <w:szCs w:val="18"/>
    </w:rPr>
  </w:style>
  <w:style w:type="paragraph" w:styleId="37">
    <w:name w:val="Body Text Indent 3"/>
    <w:basedOn w:val="1"/>
    <w:link w:val="83"/>
    <w:autoRedefine/>
    <w:qFormat/>
    <w:uiPriority w:val="99"/>
    <w:pPr>
      <w:widowControl/>
      <w:spacing w:after="200" w:line="276" w:lineRule="auto"/>
      <w:ind w:left="899" w:leftChars="428" w:firstLine="458" w:firstLineChars="218"/>
      <w:jc w:val="left"/>
    </w:pPr>
    <w:rPr>
      <w:kern w:val="0"/>
      <w:sz w:val="22"/>
      <w:szCs w:val="20"/>
      <w:lang w:eastAsia="en-US"/>
    </w:rPr>
  </w:style>
  <w:style w:type="paragraph" w:styleId="38">
    <w:name w:val="table of figures"/>
    <w:basedOn w:val="1"/>
    <w:next w:val="1"/>
    <w:autoRedefine/>
    <w:semiHidden/>
    <w:qFormat/>
    <w:uiPriority w:val="99"/>
    <w:pPr>
      <w:widowControl/>
      <w:spacing w:after="200" w:line="276" w:lineRule="auto"/>
      <w:ind w:left="840" w:leftChars="200" w:hanging="420" w:hangingChars="200"/>
      <w:jc w:val="left"/>
    </w:pPr>
    <w:rPr>
      <w:kern w:val="0"/>
      <w:sz w:val="22"/>
      <w:szCs w:val="22"/>
      <w:lang w:eastAsia="en-US"/>
    </w:rPr>
  </w:style>
  <w:style w:type="paragraph" w:styleId="39">
    <w:name w:val="toc 2"/>
    <w:basedOn w:val="1"/>
    <w:next w:val="1"/>
    <w:autoRedefine/>
    <w:qFormat/>
    <w:uiPriority w:val="39"/>
    <w:pPr>
      <w:ind w:left="210"/>
      <w:jc w:val="left"/>
    </w:pPr>
    <w:rPr>
      <w:smallCaps/>
      <w:sz w:val="20"/>
      <w:szCs w:val="20"/>
    </w:rPr>
  </w:style>
  <w:style w:type="paragraph" w:styleId="40">
    <w:name w:val="toc 9"/>
    <w:basedOn w:val="1"/>
    <w:next w:val="1"/>
    <w:autoRedefine/>
    <w:semiHidden/>
    <w:qFormat/>
    <w:uiPriority w:val="39"/>
    <w:pPr>
      <w:ind w:left="1680"/>
      <w:jc w:val="left"/>
    </w:pPr>
    <w:rPr>
      <w:sz w:val="18"/>
      <w:szCs w:val="18"/>
    </w:rPr>
  </w:style>
  <w:style w:type="paragraph" w:styleId="41">
    <w:name w:val="Body Text 2"/>
    <w:basedOn w:val="1"/>
    <w:link w:val="84"/>
    <w:autoRedefine/>
    <w:qFormat/>
    <w:uiPriority w:val="99"/>
    <w:rPr>
      <w:color w:val="FF0000"/>
      <w:sz w:val="24"/>
      <w:szCs w:val="20"/>
    </w:rPr>
  </w:style>
  <w:style w:type="paragraph" w:styleId="42">
    <w:name w:val="Message Header"/>
    <w:basedOn w:val="1"/>
    <w:link w:val="85"/>
    <w:autoRedefine/>
    <w:qFormat/>
    <w:uiPriority w:val="99"/>
    <w:pPr>
      <w:widowControl/>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Arial" w:hAnsi="Arial"/>
      <w:kern w:val="0"/>
      <w:sz w:val="22"/>
      <w:szCs w:val="20"/>
      <w:lang w:eastAsia="en-US"/>
    </w:rPr>
  </w:style>
  <w:style w:type="paragraph" w:styleId="4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4"/>
    </w:rPr>
  </w:style>
  <w:style w:type="paragraph" w:styleId="44">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45">
    <w:name w:val="Title"/>
    <w:basedOn w:val="1"/>
    <w:next w:val="1"/>
    <w:link w:val="86"/>
    <w:autoRedefine/>
    <w:qFormat/>
    <w:uiPriority w:val="10"/>
    <w:pPr>
      <w:widowControl/>
      <w:pBdr>
        <w:bottom w:val="single" w:color="auto" w:sz="4" w:space="1"/>
      </w:pBdr>
      <w:spacing w:after="200"/>
      <w:contextualSpacing/>
      <w:jc w:val="left"/>
    </w:pPr>
    <w:rPr>
      <w:rFonts w:ascii="Cambria" w:hAnsi="Cambria"/>
      <w:spacing w:val="5"/>
      <w:kern w:val="0"/>
      <w:sz w:val="52"/>
      <w:szCs w:val="20"/>
      <w:lang w:eastAsia="en-US"/>
    </w:rPr>
  </w:style>
  <w:style w:type="paragraph" w:styleId="46">
    <w:name w:val="annotation subject"/>
    <w:basedOn w:val="16"/>
    <w:next w:val="16"/>
    <w:link w:val="87"/>
    <w:autoRedefine/>
    <w:semiHidden/>
    <w:qFormat/>
    <w:uiPriority w:val="99"/>
    <w:rPr>
      <w:b/>
    </w:rPr>
  </w:style>
  <w:style w:type="paragraph" w:styleId="47">
    <w:name w:val="Body Text First Indent"/>
    <w:basedOn w:val="19"/>
    <w:next w:val="1"/>
    <w:autoRedefine/>
    <w:unhideWhenUsed/>
    <w:qFormat/>
    <w:uiPriority w:val="0"/>
    <w:pPr>
      <w:ind w:firstLine="420" w:firstLineChars="100"/>
    </w:pPr>
    <w:rPr>
      <w:sz w:val="21"/>
    </w:rPr>
  </w:style>
  <w:style w:type="paragraph" w:styleId="48">
    <w:name w:val="Body Text First Indent 2"/>
    <w:basedOn w:val="20"/>
    <w:link w:val="88"/>
    <w:autoRedefine/>
    <w:qFormat/>
    <w:uiPriority w:val="99"/>
    <w:pPr>
      <w:widowControl/>
      <w:spacing w:after="120" w:line="276" w:lineRule="auto"/>
      <w:ind w:left="420" w:leftChars="200" w:firstLine="420" w:firstLineChars="200"/>
      <w:jc w:val="left"/>
    </w:pPr>
    <w:rPr>
      <w:rFonts w:ascii="宋体" w:hAnsi="宋体"/>
      <w:lang w:eastAsia="en-US"/>
    </w:rPr>
  </w:style>
  <w:style w:type="table" w:styleId="50">
    <w:name w:val="Table Grid"/>
    <w:basedOn w:val="4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2">
    <w:name w:val="Strong"/>
    <w:autoRedefine/>
    <w:qFormat/>
    <w:uiPriority w:val="22"/>
    <w:rPr>
      <w:b/>
    </w:rPr>
  </w:style>
  <w:style w:type="character" w:styleId="53">
    <w:name w:val="page number"/>
    <w:autoRedefine/>
    <w:qFormat/>
    <w:uiPriority w:val="99"/>
  </w:style>
  <w:style w:type="character" w:styleId="54">
    <w:name w:val="FollowedHyperlink"/>
    <w:autoRedefine/>
    <w:qFormat/>
    <w:uiPriority w:val="99"/>
    <w:rPr>
      <w:color w:val="800080"/>
      <w:u w:val="single"/>
    </w:rPr>
  </w:style>
  <w:style w:type="character" w:styleId="55">
    <w:name w:val="Emphasis"/>
    <w:autoRedefine/>
    <w:qFormat/>
    <w:uiPriority w:val="20"/>
    <w:rPr>
      <w:b/>
      <w:i/>
      <w:spacing w:val="10"/>
      <w:shd w:val="clear" w:color="auto" w:fill="auto"/>
    </w:rPr>
  </w:style>
  <w:style w:type="character" w:styleId="56">
    <w:name w:val="Hyperlink"/>
    <w:basedOn w:val="51"/>
    <w:autoRedefine/>
    <w:qFormat/>
    <w:uiPriority w:val="99"/>
    <w:rPr>
      <w:color w:val="0000FF"/>
      <w:u w:val="single"/>
    </w:rPr>
  </w:style>
  <w:style w:type="character" w:styleId="57">
    <w:name w:val="annotation reference"/>
    <w:basedOn w:val="51"/>
    <w:autoRedefine/>
    <w:semiHidden/>
    <w:qFormat/>
    <w:uiPriority w:val="99"/>
    <w:rPr>
      <w:sz w:val="21"/>
    </w:rPr>
  </w:style>
  <w:style w:type="character" w:styleId="58">
    <w:name w:val="footnote reference"/>
    <w:basedOn w:val="51"/>
    <w:semiHidden/>
    <w:unhideWhenUsed/>
    <w:qFormat/>
    <w:uiPriority w:val="99"/>
    <w:rPr>
      <w:vertAlign w:val="superscript"/>
    </w:rPr>
  </w:style>
  <w:style w:type="paragraph" w:customStyle="1" w:styleId="59">
    <w:name w:val="无间隔1"/>
    <w:autoRedefine/>
    <w:qFormat/>
    <w:uiPriority w:val="1"/>
    <w:pPr>
      <w:adjustRightInd w:val="0"/>
      <w:snapToGrid w:val="0"/>
    </w:pPr>
    <w:rPr>
      <w:rFonts w:ascii="Tahoma" w:hAnsi="Tahoma" w:eastAsia="微软雅黑" w:cs="Arial"/>
      <w:sz w:val="22"/>
      <w:szCs w:val="22"/>
      <w:lang w:val="en-US" w:eastAsia="zh-CN" w:bidi="ar-SA"/>
    </w:rPr>
  </w:style>
  <w:style w:type="character" w:customStyle="1" w:styleId="60">
    <w:name w:val="正文文本 Char"/>
    <w:link w:val="19"/>
    <w:autoRedefine/>
    <w:qFormat/>
    <w:locked/>
    <w:uiPriority w:val="0"/>
    <w:rPr>
      <w:rFonts w:eastAsia="宋体"/>
      <w:kern w:val="2"/>
      <w:sz w:val="24"/>
      <w:lang w:val="en-US" w:eastAsia="zh-CN"/>
    </w:rPr>
  </w:style>
  <w:style w:type="character" w:customStyle="1" w:styleId="61">
    <w:name w:val="标题 1 Char"/>
    <w:link w:val="2"/>
    <w:autoRedefine/>
    <w:qFormat/>
    <w:locked/>
    <w:uiPriority w:val="9"/>
    <w:rPr>
      <w:rFonts w:ascii="宋体" w:eastAsia="宋体"/>
      <w:b/>
      <w:sz w:val="44"/>
      <w:lang w:val="en-US" w:eastAsia="zh-CN"/>
    </w:rPr>
  </w:style>
  <w:style w:type="character" w:customStyle="1" w:styleId="62">
    <w:name w:val="标题 2 Char"/>
    <w:link w:val="3"/>
    <w:autoRedefine/>
    <w:qFormat/>
    <w:uiPriority w:val="0"/>
    <w:rPr>
      <w:rFonts w:hAnsi="宋体"/>
      <w:b/>
      <w:sz w:val="32"/>
    </w:rPr>
  </w:style>
  <w:style w:type="character" w:customStyle="1" w:styleId="63">
    <w:name w:val="标题 3 Char"/>
    <w:link w:val="4"/>
    <w:autoRedefine/>
    <w:qFormat/>
    <w:locked/>
    <w:uiPriority w:val="9"/>
    <w:rPr>
      <w:rFonts w:eastAsia="宋体"/>
      <w:b/>
      <w:kern w:val="2"/>
      <w:sz w:val="32"/>
      <w:lang w:val="en-US" w:eastAsia="zh-CN"/>
    </w:rPr>
  </w:style>
  <w:style w:type="character" w:customStyle="1" w:styleId="64">
    <w:name w:val="标题 4 Char"/>
    <w:link w:val="5"/>
    <w:autoRedefine/>
    <w:qFormat/>
    <w:locked/>
    <w:uiPriority w:val="9"/>
    <w:rPr>
      <w:rFonts w:eastAsia="宋体"/>
      <w:b/>
      <w:snapToGrid w:val="0"/>
      <w:sz w:val="28"/>
      <w:lang w:val="en-US" w:eastAsia="zh-CN"/>
    </w:rPr>
  </w:style>
  <w:style w:type="character" w:customStyle="1" w:styleId="65">
    <w:name w:val="标题 5 Char"/>
    <w:link w:val="6"/>
    <w:autoRedefine/>
    <w:qFormat/>
    <w:locked/>
    <w:uiPriority w:val="9"/>
    <w:rPr>
      <w:rFonts w:ascii="宋体" w:hAnsi="宋体" w:eastAsia="宋体"/>
      <w:b/>
      <w:kern w:val="2"/>
      <w:sz w:val="24"/>
      <w:lang w:val="en-US" w:eastAsia="zh-CN"/>
    </w:rPr>
  </w:style>
  <w:style w:type="character" w:customStyle="1" w:styleId="66">
    <w:name w:val="标题 6 Char"/>
    <w:link w:val="7"/>
    <w:autoRedefine/>
    <w:qFormat/>
    <w:locked/>
    <w:uiPriority w:val="9"/>
    <w:rPr>
      <w:rFonts w:ascii="宋体" w:hAnsi="宋体" w:eastAsia="宋体"/>
      <w:b/>
      <w:kern w:val="2"/>
      <w:sz w:val="30"/>
      <w:lang w:val="en-US" w:eastAsia="zh-CN"/>
    </w:rPr>
  </w:style>
  <w:style w:type="character" w:customStyle="1" w:styleId="67">
    <w:name w:val="标题 7 Char"/>
    <w:link w:val="8"/>
    <w:autoRedefine/>
    <w:qFormat/>
    <w:locked/>
    <w:uiPriority w:val="9"/>
    <w:rPr>
      <w:rFonts w:eastAsia="宋体"/>
      <w:kern w:val="2"/>
      <w:sz w:val="24"/>
      <w:lang w:val="en-US" w:eastAsia="zh-CN"/>
    </w:rPr>
  </w:style>
  <w:style w:type="character" w:customStyle="1" w:styleId="68">
    <w:name w:val="标题 8 Char"/>
    <w:link w:val="9"/>
    <w:autoRedefine/>
    <w:qFormat/>
    <w:locked/>
    <w:uiPriority w:val="9"/>
    <w:rPr>
      <w:rFonts w:ascii="Arial" w:hAnsi="Arial" w:eastAsia="黑体"/>
      <w:kern w:val="2"/>
      <w:sz w:val="24"/>
      <w:lang w:val="en-US" w:eastAsia="zh-CN"/>
    </w:rPr>
  </w:style>
  <w:style w:type="character" w:customStyle="1" w:styleId="69">
    <w:name w:val="标题 9 Char"/>
    <w:link w:val="10"/>
    <w:autoRedefine/>
    <w:qFormat/>
    <w:locked/>
    <w:uiPriority w:val="9"/>
    <w:rPr>
      <w:rFonts w:ascii="Arial" w:hAnsi="Arial" w:eastAsia="黑体"/>
      <w:kern w:val="2"/>
      <w:sz w:val="21"/>
      <w:lang w:val="en-US" w:eastAsia="zh-CN"/>
    </w:rPr>
  </w:style>
  <w:style w:type="character" w:customStyle="1" w:styleId="70">
    <w:name w:val="正文缩进 Char"/>
    <w:link w:val="12"/>
    <w:autoRedefine/>
    <w:qFormat/>
    <w:locked/>
    <w:uiPriority w:val="0"/>
    <w:rPr>
      <w:rFonts w:eastAsia="宋体"/>
      <w:kern w:val="2"/>
      <w:sz w:val="21"/>
      <w:lang w:val="en-US" w:eastAsia="zh-CN"/>
    </w:rPr>
  </w:style>
  <w:style w:type="character" w:customStyle="1" w:styleId="71">
    <w:name w:val="文档结构图 Char"/>
    <w:link w:val="14"/>
    <w:autoRedefine/>
    <w:semiHidden/>
    <w:qFormat/>
    <w:locked/>
    <w:uiPriority w:val="99"/>
    <w:rPr>
      <w:rFonts w:eastAsia="宋体"/>
      <w:kern w:val="2"/>
      <w:sz w:val="24"/>
      <w:lang w:val="en-US" w:eastAsia="zh-CN"/>
    </w:rPr>
  </w:style>
  <w:style w:type="character" w:customStyle="1" w:styleId="72">
    <w:name w:val="批注文字 Char"/>
    <w:link w:val="16"/>
    <w:autoRedefine/>
    <w:semiHidden/>
    <w:qFormat/>
    <w:locked/>
    <w:uiPriority w:val="99"/>
    <w:rPr>
      <w:rFonts w:eastAsia="宋体"/>
      <w:kern w:val="2"/>
      <w:sz w:val="24"/>
      <w:lang w:val="en-US" w:eastAsia="zh-CN"/>
    </w:rPr>
  </w:style>
  <w:style w:type="character" w:customStyle="1" w:styleId="73">
    <w:name w:val="称呼 Char"/>
    <w:link w:val="17"/>
    <w:autoRedefine/>
    <w:semiHidden/>
    <w:qFormat/>
    <w:locked/>
    <w:uiPriority w:val="99"/>
    <w:rPr>
      <w:kern w:val="2"/>
      <w:sz w:val="24"/>
    </w:rPr>
  </w:style>
  <w:style w:type="character" w:customStyle="1" w:styleId="74">
    <w:name w:val="正文文本 3 Char"/>
    <w:link w:val="18"/>
    <w:autoRedefine/>
    <w:qFormat/>
    <w:locked/>
    <w:uiPriority w:val="99"/>
    <w:rPr>
      <w:rFonts w:ascii="Calibri" w:hAnsi="Calibri" w:eastAsia="宋体"/>
      <w:color w:val="FF00FF"/>
      <w:sz w:val="22"/>
      <w:lang w:val="en-US" w:eastAsia="en-US"/>
    </w:rPr>
  </w:style>
  <w:style w:type="character" w:customStyle="1" w:styleId="75">
    <w:name w:val="正文文本缩进 Char"/>
    <w:link w:val="20"/>
    <w:autoRedefine/>
    <w:qFormat/>
    <w:locked/>
    <w:uiPriority w:val="99"/>
    <w:rPr>
      <w:rFonts w:eastAsia="宋体"/>
      <w:kern w:val="2"/>
      <w:sz w:val="24"/>
      <w:lang w:val="en-US" w:eastAsia="zh-CN"/>
    </w:rPr>
  </w:style>
  <w:style w:type="character" w:customStyle="1" w:styleId="76">
    <w:name w:val="纯文本 Char"/>
    <w:link w:val="24"/>
    <w:autoRedefine/>
    <w:qFormat/>
    <w:locked/>
    <w:uiPriority w:val="0"/>
    <w:rPr>
      <w:rFonts w:ascii="宋体" w:hAnsi="Courier New" w:eastAsia="宋体"/>
      <w:kern w:val="2"/>
      <w:sz w:val="21"/>
      <w:lang w:val="en-US" w:eastAsia="zh-CN"/>
    </w:rPr>
  </w:style>
  <w:style w:type="character" w:customStyle="1" w:styleId="77">
    <w:name w:val="日期 Char"/>
    <w:link w:val="26"/>
    <w:autoRedefine/>
    <w:qFormat/>
    <w:locked/>
    <w:uiPriority w:val="99"/>
    <w:rPr>
      <w:rFonts w:eastAsia="宋体"/>
      <w:kern w:val="2"/>
      <w:sz w:val="21"/>
      <w:lang w:val="en-US" w:eastAsia="zh-CN"/>
    </w:rPr>
  </w:style>
  <w:style w:type="character" w:customStyle="1" w:styleId="78">
    <w:name w:val="正文文本缩进 2 Char"/>
    <w:link w:val="27"/>
    <w:autoRedefine/>
    <w:qFormat/>
    <w:locked/>
    <w:uiPriority w:val="99"/>
    <w:rPr>
      <w:rFonts w:eastAsia="仿宋_GB2312"/>
      <w:kern w:val="2"/>
      <w:sz w:val="24"/>
      <w:lang w:val="en-US" w:eastAsia="zh-CN"/>
    </w:rPr>
  </w:style>
  <w:style w:type="character" w:customStyle="1" w:styleId="79">
    <w:name w:val="批注框文本 Char"/>
    <w:link w:val="28"/>
    <w:autoRedefine/>
    <w:semiHidden/>
    <w:qFormat/>
    <w:locked/>
    <w:uiPriority w:val="99"/>
    <w:rPr>
      <w:rFonts w:eastAsia="宋体"/>
      <w:kern w:val="2"/>
      <w:sz w:val="18"/>
      <w:lang w:val="en-US" w:eastAsia="zh-CN"/>
    </w:rPr>
  </w:style>
  <w:style w:type="character" w:customStyle="1" w:styleId="80">
    <w:name w:val="页脚 Char"/>
    <w:link w:val="29"/>
    <w:autoRedefine/>
    <w:qFormat/>
    <w:locked/>
    <w:uiPriority w:val="99"/>
    <w:rPr>
      <w:rFonts w:eastAsia="宋体"/>
      <w:kern w:val="2"/>
      <w:sz w:val="18"/>
      <w:lang w:val="en-US" w:eastAsia="zh-CN"/>
    </w:rPr>
  </w:style>
  <w:style w:type="character" w:customStyle="1" w:styleId="81">
    <w:name w:val="页眉 Char"/>
    <w:link w:val="30"/>
    <w:autoRedefine/>
    <w:qFormat/>
    <w:locked/>
    <w:uiPriority w:val="99"/>
    <w:rPr>
      <w:rFonts w:eastAsia="宋体"/>
      <w:kern w:val="2"/>
      <w:sz w:val="18"/>
      <w:lang w:val="en-US" w:eastAsia="zh-CN"/>
    </w:rPr>
  </w:style>
  <w:style w:type="character" w:customStyle="1" w:styleId="82">
    <w:name w:val="副标题 Char"/>
    <w:link w:val="33"/>
    <w:autoRedefine/>
    <w:qFormat/>
    <w:locked/>
    <w:uiPriority w:val="0"/>
    <w:rPr>
      <w:rFonts w:ascii="Cambria" w:hAnsi="Cambria" w:eastAsia="宋体"/>
      <w:b/>
      <w:kern w:val="28"/>
      <w:sz w:val="32"/>
      <w:lang w:val="en-US" w:eastAsia="zh-CN"/>
    </w:rPr>
  </w:style>
  <w:style w:type="character" w:customStyle="1" w:styleId="83">
    <w:name w:val="正文文本缩进 3 Char"/>
    <w:link w:val="37"/>
    <w:autoRedefine/>
    <w:qFormat/>
    <w:locked/>
    <w:uiPriority w:val="99"/>
    <w:rPr>
      <w:rFonts w:ascii="Calibri" w:hAnsi="Calibri" w:eastAsia="宋体"/>
      <w:sz w:val="22"/>
      <w:lang w:val="en-US" w:eastAsia="en-US"/>
    </w:rPr>
  </w:style>
  <w:style w:type="character" w:customStyle="1" w:styleId="84">
    <w:name w:val="正文文本 2 Char"/>
    <w:link w:val="41"/>
    <w:autoRedefine/>
    <w:qFormat/>
    <w:locked/>
    <w:uiPriority w:val="99"/>
    <w:rPr>
      <w:rFonts w:eastAsia="宋体"/>
      <w:color w:val="FF0000"/>
      <w:kern w:val="2"/>
      <w:sz w:val="24"/>
      <w:lang w:val="en-US" w:eastAsia="zh-CN"/>
    </w:rPr>
  </w:style>
  <w:style w:type="character" w:customStyle="1" w:styleId="85">
    <w:name w:val="信息标题 Char"/>
    <w:link w:val="42"/>
    <w:autoRedefine/>
    <w:qFormat/>
    <w:locked/>
    <w:uiPriority w:val="99"/>
    <w:rPr>
      <w:rFonts w:ascii="Arial" w:hAnsi="Arial" w:eastAsia="宋体"/>
      <w:sz w:val="22"/>
      <w:lang w:val="en-US" w:eastAsia="en-US"/>
    </w:rPr>
  </w:style>
  <w:style w:type="character" w:customStyle="1" w:styleId="86">
    <w:name w:val="标题 Char"/>
    <w:link w:val="45"/>
    <w:autoRedefine/>
    <w:qFormat/>
    <w:locked/>
    <w:uiPriority w:val="10"/>
    <w:rPr>
      <w:rFonts w:ascii="Cambria" w:hAnsi="Cambria" w:eastAsia="宋体"/>
      <w:spacing w:val="5"/>
      <w:sz w:val="52"/>
      <w:lang w:val="en-US" w:eastAsia="en-US"/>
    </w:rPr>
  </w:style>
  <w:style w:type="character" w:customStyle="1" w:styleId="87">
    <w:name w:val="批注主题 Char"/>
    <w:link w:val="46"/>
    <w:autoRedefine/>
    <w:semiHidden/>
    <w:qFormat/>
    <w:locked/>
    <w:uiPriority w:val="99"/>
    <w:rPr>
      <w:rFonts w:eastAsia="宋体"/>
      <w:b/>
      <w:kern w:val="2"/>
      <w:sz w:val="24"/>
      <w:lang w:val="en-US" w:eastAsia="zh-CN"/>
    </w:rPr>
  </w:style>
  <w:style w:type="character" w:customStyle="1" w:styleId="88">
    <w:name w:val="正文首行缩进 2 Char"/>
    <w:link w:val="48"/>
    <w:autoRedefine/>
    <w:qFormat/>
    <w:locked/>
    <w:uiPriority w:val="99"/>
    <w:rPr>
      <w:rFonts w:ascii="宋体" w:hAnsi="宋体" w:eastAsia="宋体"/>
      <w:kern w:val="2"/>
      <w:sz w:val="24"/>
      <w:lang w:val="en-US" w:eastAsia="en-US"/>
    </w:rPr>
  </w:style>
  <w:style w:type="character" w:customStyle="1" w:styleId="89">
    <w:name w:val="标题 2 Char1"/>
    <w:autoRedefine/>
    <w:qFormat/>
    <w:locked/>
    <w:uiPriority w:val="9"/>
    <w:rPr>
      <w:rFonts w:ascii="Arial" w:hAnsi="Arial" w:eastAsia="黑体"/>
      <w:b/>
      <w:kern w:val="2"/>
      <w:sz w:val="32"/>
      <w:lang w:val="en-US" w:eastAsia="zh-CN"/>
    </w:rPr>
  </w:style>
  <w:style w:type="character" w:customStyle="1" w:styleId="90">
    <w:name w:val="unnamed21"/>
    <w:autoRedefine/>
    <w:qFormat/>
    <w:uiPriority w:val="0"/>
  </w:style>
  <w:style w:type="character" w:customStyle="1" w:styleId="91">
    <w:name w:val="type1"/>
    <w:autoRedefine/>
    <w:qFormat/>
    <w:uiPriority w:val="0"/>
    <w:rPr>
      <w:rFonts w:ascii="Arial" w:hAnsi="Arial"/>
      <w:color w:val="666666"/>
      <w:sz w:val="18"/>
    </w:rPr>
  </w:style>
  <w:style w:type="character" w:customStyle="1" w:styleId="92">
    <w:name w:val="a91"/>
    <w:autoRedefine/>
    <w:qFormat/>
    <w:uiPriority w:val="0"/>
    <w:rPr>
      <w:sz w:val="18"/>
    </w:rPr>
  </w:style>
  <w:style w:type="character" w:customStyle="1" w:styleId="93">
    <w:name w:val="明显参考1"/>
    <w:autoRedefine/>
    <w:qFormat/>
    <w:uiPriority w:val="0"/>
    <w:rPr>
      <w:smallCaps/>
      <w:spacing w:val="5"/>
      <w:u w:val="single"/>
    </w:rPr>
  </w:style>
  <w:style w:type="character" w:customStyle="1" w:styleId="94">
    <w:name w:val="不明显参考1"/>
    <w:autoRedefine/>
    <w:qFormat/>
    <w:uiPriority w:val="0"/>
    <w:rPr>
      <w:smallCaps/>
    </w:rPr>
  </w:style>
  <w:style w:type="character" w:customStyle="1" w:styleId="95">
    <w:name w:val="font91"/>
    <w:autoRedefine/>
    <w:qFormat/>
    <w:uiPriority w:val="0"/>
    <w:rPr>
      <w:sz w:val="18"/>
    </w:rPr>
  </w:style>
  <w:style w:type="character" w:customStyle="1" w:styleId="96">
    <w:name w:val="Quote Char"/>
    <w:link w:val="97"/>
    <w:autoRedefine/>
    <w:qFormat/>
    <w:locked/>
    <w:uiPriority w:val="0"/>
    <w:rPr>
      <w:rFonts w:ascii="Calibri" w:hAnsi="Calibri" w:eastAsia="宋体"/>
      <w:i/>
      <w:sz w:val="22"/>
      <w:lang w:val="en-US" w:eastAsia="en-US"/>
    </w:rPr>
  </w:style>
  <w:style w:type="paragraph" w:customStyle="1" w:styleId="97">
    <w:name w:val="引用1"/>
    <w:basedOn w:val="1"/>
    <w:next w:val="1"/>
    <w:link w:val="96"/>
    <w:autoRedefine/>
    <w:qFormat/>
    <w:uiPriority w:val="0"/>
    <w:pPr>
      <w:widowControl/>
      <w:spacing w:before="200" w:line="276" w:lineRule="auto"/>
      <w:ind w:left="360" w:right="360"/>
      <w:jc w:val="left"/>
    </w:pPr>
    <w:rPr>
      <w:i/>
      <w:kern w:val="0"/>
      <w:sz w:val="22"/>
      <w:szCs w:val="20"/>
      <w:lang w:eastAsia="en-US"/>
    </w:rPr>
  </w:style>
  <w:style w:type="character" w:customStyle="1" w:styleId="98">
    <w:name w:val="WW8Num16z0"/>
    <w:autoRedefine/>
    <w:qFormat/>
    <w:uiPriority w:val="0"/>
    <w:rPr>
      <w:rFonts w:ascii="Wingdings" w:hAnsi="Wingdings"/>
    </w:rPr>
  </w:style>
  <w:style w:type="character" w:customStyle="1" w:styleId="99">
    <w:name w:val="f111"/>
    <w:autoRedefine/>
    <w:qFormat/>
    <w:uiPriority w:val="0"/>
    <w:rPr>
      <w:sz w:val="22"/>
    </w:rPr>
  </w:style>
  <w:style w:type="character" w:customStyle="1" w:styleId="100">
    <w:name w:val="ca-161"/>
    <w:autoRedefine/>
    <w:qFormat/>
    <w:uiPriority w:val="0"/>
    <w:rPr>
      <w:rFonts w:ascii="Times New Roman" w:hAnsi="Times New Roman"/>
      <w:color w:val="FF0000"/>
      <w:spacing w:val="0"/>
      <w:sz w:val="21"/>
    </w:rPr>
  </w:style>
  <w:style w:type="character" w:customStyle="1" w:styleId="101">
    <w:name w:val="书籍标题1"/>
    <w:autoRedefine/>
    <w:qFormat/>
    <w:uiPriority w:val="0"/>
    <w:rPr>
      <w:i/>
      <w:smallCaps/>
      <w:spacing w:val="5"/>
    </w:rPr>
  </w:style>
  <w:style w:type="character" w:customStyle="1" w:styleId="102">
    <w:name w:val="纯文本 Char Char Char"/>
    <w:autoRedefine/>
    <w:qFormat/>
    <w:uiPriority w:val="0"/>
    <w:rPr>
      <w:rFonts w:ascii="宋体" w:hAnsi="Courier New" w:eastAsia="宋体"/>
      <w:kern w:val="2"/>
      <w:sz w:val="21"/>
      <w:lang w:val="en-US" w:eastAsia="zh-CN"/>
    </w:rPr>
  </w:style>
  <w:style w:type="character" w:customStyle="1" w:styleId="103">
    <w:name w:val="WW-Absatz-Standardschriftart1"/>
    <w:autoRedefine/>
    <w:qFormat/>
    <w:uiPriority w:val="0"/>
  </w:style>
  <w:style w:type="character" w:customStyle="1" w:styleId="104">
    <w:name w:val="mark8"/>
    <w:autoRedefine/>
    <w:qFormat/>
    <w:uiPriority w:val="0"/>
    <w:rPr>
      <w:b/>
      <w:sz w:val="21"/>
    </w:rPr>
  </w:style>
  <w:style w:type="character" w:customStyle="1" w:styleId="105">
    <w:name w:val="f12_05321"/>
    <w:autoRedefine/>
    <w:qFormat/>
    <w:uiPriority w:val="0"/>
    <w:rPr>
      <w:color w:val="053299"/>
      <w:sz w:val="20"/>
    </w:rPr>
  </w:style>
  <w:style w:type="character" w:customStyle="1" w:styleId="106">
    <w:name w:val="priceheader7"/>
    <w:autoRedefine/>
    <w:qFormat/>
    <w:uiPriority w:val="0"/>
    <w:rPr>
      <w:sz w:val="18"/>
    </w:rPr>
  </w:style>
  <w:style w:type="character" w:customStyle="1" w:styleId="107">
    <w:name w:val="normalfont1"/>
    <w:autoRedefine/>
    <w:qFormat/>
    <w:uiPriority w:val="0"/>
    <w:rPr>
      <w:rFonts w:ascii="??" w:hAnsi="??"/>
      <w:color w:val="000472"/>
      <w:sz w:val="18"/>
    </w:rPr>
  </w:style>
  <w:style w:type="character" w:customStyle="1" w:styleId="108">
    <w:name w:val="la1"/>
    <w:autoRedefine/>
    <w:qFormat/>
    <w:uiPriority w:val="0"/>
    <w:rPr>
      <w:sz w:val="21"/>
    </w:rPr>
  </w:style>
  <w:style w:type="character" w:customStyle="1" w:styleId="109">
    <w:name w:val="WW-Absatz-Standardschriftart"/>
    <w:autoRedefine/>
    <w:qFormat/>
    <w:uiPriority w:val="0"/>
  </w:style>
  <w:style w:type="character" w:customStyle="1" w:styleId="110">
    <w:name w:val="不明显强调1"/>
    <w:autoRedefine/>
    <w:qFormat/>
    <w:uiPriority w:val="0"/>
    <w:rPr>
      <w:i/>
    </w:rPr>
  </w:style>
  <w:style w:type="character" w:customStyle="1" w:styleId="111">
    <w:name w:val="apple-style-span"/>
    <w:autoRedefine/>
    <w:qFormat/>
    <w:uiPriority w:val="0"/>
  </w:style>
  <w:style w:type="character" w:customStyle="1" w:styleId="112">
    <w:name w:val="WW8Num7z0"/>
    <w:autoRedefine/>
    <w:qFormat/>
    <w:uiPriority w:val="0"/>
    <w:rPr>
      <w:rFonts w:ascii="Wingdings" w:hAnsi="Wingdings"/>
    </w:rPr>
  </w:style>
  <w:style w:type="character" w:customStyle="1" w:styleId="113">
    <w:name w:val="项目符号"/>
    <w:autoRedefine/>
    <w:qFormat/>
    <w:uiPriority w:val="0"/>
    <w:rPr>
      <w:rFonts w:ascii="StarSymbol" w:hAnsi="StarSymbol"/>
      <w:sz w:val="18"/>
    </w:rPr>
  </w:style>
  <w:style w:type="character" w:customStyle="1" w:styleId="114">
    <w:name w:val="WW8Num15z0"/>
    <w:autoRedefine/>
    <w:qFormat/>
    <w:uiPriority w:val="0"/>
    <w:rPr>
      <w:rFonts w:ascii="Wingdings" w:hAnsi="Wingdings"/>
    </w:rPr>
  </w:style>
  <w:style w:type="character" w:customStyle="1" w:styleId="115">
    <w:name w:val="apple-converted-space"/>
    <w:autoRedefine/>
    <w:qFormat/>
    <w:uiPriority w:val="0"/>
  </w:style>
  <w:style w:type="character" w:customStyle="1" w:styleId="116">
    <w:name w:val="themebody1"/>
    <w:autoRedefine/>
    <w:qFormat/>
    <w:uiPriority w:val="0"/>
    <w:rPr>
      <w:color w:val="FFFFFF"/>
    </w:rPr>
  </w:style>
  <w:style w:type="character" w:customStyle="1" w:styleId="117">
    <w:name w:val="Body Text Char"/>
    <w:autoRedefine/>
    <w:qFormat/>
    <w:locked/>
    <w:uiPriority w:val="99"/>
    <w:rPr>
      <w:rFonts w:ascii="Times New Roman" w:hAnsi="Times New Roman" w:eastAsia="宋体"/>
      <w:sz w:val="24"/>
    </w:rPr>
  </w:style>
  <w:style w:type="character" w:customStyle="1" w:styleId="118">
    <w:name w:val="Subtitle Char"/>
    <w:autoRedefine/>
    <w:qFormat/>
    <w:locked/>
    <w:uiPriority w:val="11"/>
    <w:rPr>
      <w:rFonts w:ascii="Cambria" w:hAnsi="Cambria" w:eastAsia="宋体"/>
      <w:i/>
      <w:spacing w:val="13"/>
      <w:sz w:val="24"/>
    </w:rPr>
  </w:style>
  <w:style w:type="character" w:customStyle="1" w:styleId="119">
    <w:name w:val="正文（标记） Char2"/>
    <w:link w:val="120"/>
    <w:autoRedefine/>
    <w:qFormat/>
    <w:locked/>
    <w:uiPriority w:val="0"/>
    <w:rPr>
      <w:rFonts w:ascii="Calibri" w:hAnsi="Calibri"/>
      <w:sz w:val="22"/>
      <w:lang w:eastAsia="en-US"/>
    </w:rPr>
  </w:style>
  <w:style w:type="paragraph" w:customStyle="1" w:styleId="120">
    <w:name w:val="正文（标记）"/>
    <w:basedOn w:val="1"/>
    <w:link w:val="119"/>
    <w:autoRedefine/>
    <w:qFormat/>
    <w:uiPriority w:val="0"/>
    <w:pPr>
      <w:widowControl/>
      <w:numPr>
        <w:ilvl w:val="0"/>
        <w:numId w:val="1"/>
      </w:numPr>
      <w:spacing w:beforeLines="50" w:afterLines="50" w:line="276" w:lineRule="auto"/>
      <w:jc w:val="left"/>
    </w:pPr>
    <w:rPr>
      <w:kern w:val="0"/>
      <w:sz w:val="22"/>
      <w:szCs w:val="20"/>
      <w:lang w:eastAsia="en-US"/>
    </w:rPr>
  </w:style>
  <w:style w:type="character" w:customStyle="1" w:styleId="121">
    <w:name w:val="明显强调1"/>
    <w:autoRedefine/>
    <w:qFormat/>
    <w:uiPriority w:val="0"/>
    <w:rPr>
      <w:b/>
    </w:rPr>
  </w:style>
  <w:style w:type="character" w:customStyle="1" w:styleId="122">
    <w:name w:val="WW8Num13z0"/>
    <w:autoRedefine/>
    <w:qFormat/>
    <w:uiPriority w:val="0"/>
    <w:rPr>
      <w:rFonts w:ascii="Wingdings" w:hAnsi="Wingdings"/>
    </w:rPr>
  </w:style>
  <w:style w:type="character" w:customStyle="1" w:styleId="123">
    <w:name w:val="small2"/>
    <w:autoRedefine/>
    <w:qFormat/>
    <w:uiPriority w:val="0"/>
    <w:rPr>
      <w:sz w:val="22"/>
    </w:rPr>
  </w:style>
  <w:style w:type="character" w:customStyle="1" w:styleId="124">
    <w:name w:val="SC163980"/>
    <w:autoRedefine/>
    <w:qFormat/>
    <w:uiPriority w:val="0"/>
    <w:rPr>
      <w:color w:val="000000"/>
      <w:sz w:val="15"/>
    </w:rPr>
  </w:style>
  <w:style w:type="character" w:customStyle="1" w:styleId="125">
    <w:name w:val="WW8Num10z0"/>
    <w:autoRedefine/>
    <w:qFormat/>
    <w:uiPriority w:val="0"/>
    <w:rPr>
      <w:rFonts w:ascii="Wingdings" w:hAnsi="Wingdings"/>
    </w:rPr>
  </w:style>
  <w:style w:type="character" w:customStyle="1" w:styleId="126">
    <w:name w:val="WW8Num2z0"/>
    <w:autoRedefine/>
    <w:qFormat/>
    <w:uiPriority w:val="0"/>
    <w:rPr>
      <w:rFonts w:ascii="Wingdings" w:hAnsi="Wingdings"/>
    </w:rPr>
  </w:style>
  <w:style w:type="character" w:customStyle="1" w:styleId="127">
    <w:name w:val="zw"/>
    <w:autoRedefine/>
    <w:qFormat/>
    <w:uiPriority w:val="0"/>
  </w:style>
  <w:style w:type="character" w:customStyle="1" w:styleId="128">
    <w:name w:val="WW8Num5z0"/>
    <w:autoRedefine/>
    <w:qFormat/>
    <w:uiPriority w:val="0"/>
    <w:rPr>
      <w:rFonts w:ascii="Wingdings" w:hAnsi="Wingdings"/>
    </w:rPr>
  </w:style>
  <w:style w:type="character" w:customStyle="1" w:styleId="129">
    <w:name w:val="zcl style1"/>
    <w:autoRedefine/>
    <w:qFormat/>
    <w:uiPriority w:val="0"/>
  </w:style>
  <w:style w:type="character" w:customStyle="1" w:styleId="130">
    <w:name w:val="ft-hanggao1"/>
    <w:autoRedefine/>
    <w:qFormat/>
    <w:uiPriority w:val="0"/>
    <w:rPr>
      <w:color w:val="000000"/>
      <w:sz w:val="21"/>
    </w:rPr>
  </w:style>
  <w:style w:type="character" w:customStyle="1" w:styleId="131">
    <w:name w:val="z-窗体底端 Char"/>
    <w:link w:val="132"/>
    <w:autoRedefine/>
    <w:semiHidden/>
    <w:qFormat/>
    <w:locked/>
    <w:uiPriority w:val="0"/>
    <w:rPr>
      <w:rFonts w:ascii="Arial" w:hAnsi="Arial" w:eastAsia="宋体"/>
      <w:vanish/>
      <w:color w:val="000000"/>
      <w:sz w:val="16"/>
      <w:lang w:val="en-US" w:eastAsia="zh-CN"/>
    </w:rPr>
  </w:style>
  <w:style w:type="paragraph" w:customStyle="1" w:styleId="132">
    <w:name w:val="_Style 117"/>
    <w:basedOn w:val="1"/>
    <w:next w:val="1"/>
    <w:link w:val="131"/>
    <w:autoRedefine/>
    <w:semiHidden/>
    <w:qFormat/>
    <w:uiPriority w:val="0"/>
    <w:pPr>
      <w:widowControl/>
      <w:pBdr>
        <w:top w:val="single" w:color="auto" w:sz="6" w:space="1"/>
      </w:pBdr>
      <w:jc w:val="center"/>
    </w:pPr>
    <w:rPr>
      <w:rFonts w:ascii="Arial" w:hAnsi="Arial"/>
      <w:vanish/>
      <w:color w:val="000000"/>
      <w:kern w:val="0"/>
      <w:sz w:val="16"/>
      <w:szCs w:val="20"/>
    </w:rPr>
  </w:style>
  <w:style w:type="character" w:customStyle="1" w:styleId="133">
    <w:name w:val="z-窗体顶端 Char"/>
    <w:link w:val="134"/>
    <w:autoRedefine/>
    <w:semiHidden/>
    <w:qFormat/>
    <w:locked/>
    <w:uiPriority w:val="0"/>
    <w:rPr>
      <w:rFonts w:ascii="Arial" w:hAnsi="Arial" w:eastAsia="宋体"/>
      <w:vanish/>
      <w:color w:val="000000"/>
      <w:sz w:val="16"/>
      <w:lang w:val="en-US" w:eastAsia="zh-CN"/>
    </w:rPr>
  </w:style>
  <w:style w:type="paragraph" w:customStyle="1" w:styleId="134">
    <w:name w:val="_Style 130"/>
    <w:basedOn w:val="1"/>
    <w:next w:val="1"/>
    <w:link w:val="133"/>
    <w:autoRedefine/>
    <w:semiHidden/>
    <w:qFormat/>
    <w:uiPriority w:val="0"/>
    <w:pPr>
      <w:widowControl/>
      <w:pBdr>
        <w:bottom w:val="single" w:color="auto" w:sz="6" w:space="1"/>
      </w:pBdr>
      <w:jc w:val="center"/>
    </w:pPr>
    <w:rPr>
      <w:rFonts w:ascii="Arial" w:hAnsi="Arial"/>
      <w:vanish/>
      <w:color w:val="000000"/>
      <w:kern w:val="0"/>
      <w:sz w:val="16"/>
      <w:szCs w:val="20"/>
    </w:rPr>
  </w:style>
  <w:style w:type="character" w:customStyle="1" w:styleId="135">
    <w:name w:val="WW8Num9z0"/>
    <w:autoRedefine/>
    <w:qFormat/>
    <w:uiPriority w:val="0"/>
    <w:rPr>
      <w:rFonts w:ascii="Wingdings" w:hAnsi="Wingdings"/>
    </w:rPr>
  </w:style>
  <w:style w:type="character" w:customStyle="1" w:styleId="136">
    <w:name w:val="pricevat5"/>
    <w:autoRedefine/>
    <w:qFormat/>
    <w:uiPriority w:val="0"/>
    <w:rPr>
      <w:sz w:val="14"/>
    </w:rPr>
  </w:style>
  <w:style w:type="character" w:customStyle="1" w:styleId="137">
    <w:name w:val="WW8Num14z0"/>
    <w:autoRedefine/>
    <w:qFormat/>
    <w:uiPriority w:val="0"/>
    <w:rPr>
      <w:rFonts w:ascii="Wingdings" w:hAnsi="Wingdings"/>
    </w:rPr>
  </w:style>
  <w:style w:type="character" w:customStyle="1" w:styleId="138">
    <w:name w:val="f101"/>
    <w:autoRedefine/>
    <w:qFormat/>
    <w:uiPriority w:val="0"/>
    <w:rPr>
      <w:sz w:val="21"/>
    </w:rPr>
  </w:style>
  <w:style w:type="character" w:customStyle="1" w:styleId="139">
    <w:name w:val="a21"/>
    <w:autoRedefine/>
    <w:qFormat/>
    <w:uiPriority w:val="0"/>
    <w:rPr>
      <w:rFonts w:ascii="??" w:hAnsi="??"/>
      <w:sz w:val="18"/>
    </w:rPr>
  </w:style>
  <w:style w:type="character" w:customStyle="1" w:styleId="140">
    <w:name w:val="正文（缩进） Char"/>
    <w:link w:val="141"/>
    <w:autoRedefine/>
    <w:qFormat/>
    <w:locked/>
    <w:uiPriority w:val="0"/>
    <w:rPr>
      <w:rFonts w:ascii="Calibri" w:hAnsi="Calibri" w:eastAsia="宋体"/>
      <w:sz w:val="22"/>
      <w:lang w:val="en-US" w:eastAsia="en-US"/>
    </w:rPr>
  </w:style>
  <w:style w:type="paragraph" w:customStyle="1" w:styleId="141">
    <w:name w:val="正文（缩进）"/>
    <w:basedOn w:val="1"/>
    <w:link w:val="140"/>
    <w:autoRedefine/>
    <w:qFormat/>
    <w:uiPriority w:val="0"/>
    <w:pPr>
      <w:widowControl/>
      <w:spacing w:beforeLines="50" w:afterLines="50" w:line="360" w:lineRule="auto"/>
      <w:ind w:firstLine="480" w:firstLineChars="200"/>
      <w:jc w:val="left"/>
    </w:pPr>
    <w:rPr>
      <w:kern w:val="0"/>
      <w:sz w:val="22"/>
      <w:szCs w:val="20"/>
      <w:lang w:eastAsia="en-US"/>
    </w:rPr>
  </w:style>
  <w:style w:type="character" w:customStyle="1" w:styleId="142">
    <w:name w:val="Absatz-Standardschriftart"/>
    <w:autoRedefine/>
    <w:qFormat/>
    <w:uiPriority w:val="0"/>
  </w:style>
  <w:style w:type="character" w:customStyle="1" w:styleId="143">
    <w:name w:val="lineitems1"/>
    <w:autoRedefine/>
    <w:qFormat/>
    <w:uiPriority w:val="0"/>
    <w:rPr>
      <w:sz w:val="17"/>
    </w:rPr>
  </w:style>
  <w:style w:type="character" w:customStyle="1" w:styleId="144">
    <w:name w:val="c lh15"/>
    <w:autoRedefine/>
    <w:qFormat/>
    <w:uiPriority w:val="0"/>
  </w:style>
  <w:style w:type="character" w:customStyle="1" w:styleId="145">
    <w:name w:val="样式 宋体 小四 红色 下划线"/>
    <w:autoRedefine/>
    <w:qFormat/>
    <w:uiPriority w:val="0"/>
    <w:rPr>
      <w:color w:val="FF0000"/>
      <w:sz w:val="24"/>
      <w:u w:val="single"/>
    </w:rPr>
  </w:style>
  <w:style w:type="character" w:customStyle="1" w:styleId="146">
    <w:name w:val="WW8Num3z0"/>
    <w:autoRedefine/>
    <w:qFormat/>
    <w:uiPriority w:val="0"/>
    <w:rPr>
      <w:rFonts w:ascii="Wingdings" w:hAnsi="Wingdings"/>
    </w:rPr>
  </w:style>
  <w:style w:type="character" w:customStyle="1" w:styleId="147">
    <w:name w:val="head 1.1.1 Char"/>
    <w:link w:val="148"/>
    <w:autoRedefine/>
    <w:qFormat/>
    <w:locked/>
    <w:uiPriority w:val="0"/>
    <w:rPr>
      <w:kern w:val="2"/>
      <w:sz w:val="24"/>
    </w:rPr>
  </w:style>
  <w:style w:type="paragraph" w:customStyle="1" w:styleId="148">
    <w:name w:val="head 1.1.1"/>
    <w:basedOn w:val="149"/>
    <w:link w:val="147"/>
    <w:autoRedefine/>
    <w:qFormat/>
    <w:uiPriority w:val="0"/>
    <w:pPr>
      <w:numPr>
        <w:ilvl w:val="2"/>
        <w:numId w:val="2"/>
      </w:numPr>
      <w:ind w:firstLine="0" w:firstLineChars="0"/>
    </w:pPr>
    <w:rPr>
      <w:sz w:val="24"/>
      <w:szCs w:val="20"/>
    </w:rPr>
  </w:style>
  <w:style w:type="paragraph" w:customStyle="1" w:styleId="149">
    <w:name w:val="List Paragraph11"/>
    <w:basedOn w:val="1"/>
    <w:autoRedefine/>
    <w:qFormat/>
    <w:uiPriority w:val="34"/>
    <w:pPr>
      <w:ind w:firstLine="420" w:firstLineChars="200"/>
    </w:pPr>
  </w:style>
  <w:style w:type="character" w:customStyle="1" w:styleId="150">
    <w:name w:val="ca-32"/>
    <w:autoRedefine/>
    <w:qFormat/>
    <w:uiPriority w:val="0"/>
  </w:style>
  <w:style w:type="character" w:customStyle="1" w:styleId="151">
    <w:name w:val="z9unnamed2"/>
    <w:autoRedefine/>
    <w:qFormat/>
    <w:uiPriority w:val="0"/>
  </w:style>
  <w:style w:type="character" w:customStyle="1" w:styleId="152">
    <w:name w:val="ca-22"/>
    <w:autoRedefine/>
    <w:qFormat/>
    <w:uiPriority w:val="0"/>
  </w:style>
  <w:style w:type="character" w:customStyle="1" w:styleId="153">
    <w:name w:val="font71"/>
    <w:autoRedefine/>
    <w:qFormat/>
    <w:uiPriority w:val="0"/>
    <w:rPr>
      <w:rFonts w:ascii="宋体" w:hAnsi="宋体" w:eastAsia="宋体"/>
      <w:color w:val="000000"/>
      <w:sz w:val="24"/>
      <w:u w:val="none"/>
    </w:rPr>
  </w:style>
  <w:style w:type="character" w:customStyle="1" w:styleId="154">
    <w:name w:val="样式 宋体 小四"/>
    <w:autoRedefine/>
    <w:qFormat/>
    <w:uiPriority w:val="0"/>
    <w:rPr>
      <w:sz w:val="24"/>
    </w:rPr>
  </w:style>
  <w:style w:type="character" w:customStyle="1" w:styleId="155">
    <w:name w:val="Intense Quote Char"/>
    <w:link w:val="156"/>
    <w:autoRedefine/>
    <w:qFormat/>
    <w:locked/>
    <w:uiPriority w:val="0"/>
    <w:rPr>
      <w:rFonts w:ascii="Calibri" w:hAnsi="Calibri" w:eastAsia="宋体"/>
      <w:b/>
      <w:i/>
      <w:sz w:val="22"/>
      <w:lang w:val="en-US" w:eastAsia="en-US"/>
    </w:rPr>
  </w:style>
  <w:style w:type="paragraph" w:customStyle="1" w:styleId="156">
    <w:name w:val="明显引用1"/>
    <w:basedOn w:val="1"/>
    <w:next w:val="1"/>
    <w:link w:val="155"/>
    <w:autoRedefine/>
    <w:qFormat/>
    <w:uiPriority w:val="0"/>
    <w:pPr>
      <w:widowControl/>
      <w:pBdr>
        <w:bottom w:val="single" w:color="auto" w:sz="4" w:space="1"/>
      </w:pBdr>
      <w:spacing w:before="200" w:after="280" w:line="276" w:lineRule="auto"/>
      <w:ind w:left="1008" w:right="1152"/>
    </w:pPr>
    <w:rPr>
      <w:b/>
      <w:i/>
      <w:kern w:val="0"/>
      <w:sz w:val="22"/>
      <w:szCs w:val="20"/>
      <w:lang w:eastAsia="en-US"/>
    </w:rPr>
  </w:style>
  <w:style w:type="character" w:customStyle="1" w:styleId="157">
    <w:name w:val="(符号)标书正文 Char"/>
    <w:autoRedefine/>
    <w:qFormat/>
    <w:uiPriority w:val="0"/>
    <w:rPr>
      <w:rFonts w:ascii="黑体" w:hAnsi="宋体" w:eastAsia="黑体"/>
      <w:b/>
      <w:kern w:val="2"/>
      <w:sz w:val="24"/>
      <w:lang w:val="en-US" w:eastAsia="zh-CN"/>
    </w:rPr>
  </w:style>
  <w:style w:type="character" w:customStyle="1" w:styleId="158">
    <w:name w:val="a71"/>
    <w:autoRedefine/>
    <w:qFormat/>
    <w:uiPriority w:val="0"/>
    <w:rPr>
      <w:rFonts w:ascii="??" w:hAnsi="??"/>
      <w:sz w:val="20"/>
    </w:rPr>
  </w:style>
  <w:style w:type="character" w:customStyle="1" w:styleId="159">
    <w:name w:val="WW8Num1z0"/>
    <w:autoRedefine/>
    <w:qFormat/>
    <w:uiPriority w:val="0"/>
    <w:rPr>
      <w:rFonts w:ascii="Wingdings" w:hAnsi="Wingdings"/>
    </w:rPr>
  </w:style>
  <w:style w:type="character" w:customStyle="1" w:styleId="160">
    <w:name w:val="bold2"/>
    <w:autoRedefine/>
    <w:qFormat/>
    <w:uiPriority w:val="0"/>
    <w:rPr>
      <w:b/>
    </w:rPr>
  </w:style>
  <w:style w:type="character" w:customStyle="1" w:styleId="161">
    <w:name w:val="ca-151"/>
    <w:autoRedefine/>
    <w:qFormat/>
    <w:uiPriority w:val="0"/>
    <w:rPr>
      <w:rFonts w:ascii="宋体" w:hAnsi="宋体" w:eastAsia="宋体"/>
      <w:color w:val="FF0000"/>
      <w:spacing w:val="0"/>
      <w:sz w:val="21"/>
    </w:rPr>
  </w:style>
  <w:style w:type="character" w:customStyle="1" w:styleId="162">
    <w:name w:val="WW8Num8z1"/>
    <w:autoRedefine/>
    <w:qFormat/>
    <w:uiPriority w:val="0"/>
    <w:rPr>
      <w:rFonts w:ascii="Wingdings" w:hAnsi="Wingdings"/>
    </w:rPr>
  </w:style>
  <w:style w:type="character" w:customStyle="1" w:styleId="163">
    <w:name w:val="（符号）邀请函中一、"/>
    <w:autoRedefine/>
    <w:qFormat/>
    <w:uiPriority w:val="0"/>
    <w:rPr>
      <w:rFonts w:ascii="黑体" w:hAnsi="黑体" w:eastAsia="黑体"/>
      <w:b/>
      <w:sz w:val="24"/>
    </w:rPr>
  </w:style>
  <w:style w:type="character" w:customStyle="1" w:styleId="164">
    <w:name w:val="（符号）三标题1.1 Char Char"/>
    <w:link w:val="165"/>
    <w:autoRedefine/>
    <w:qFormat/>
    <w:locked/>
    <w:uiPriority w:val="0"/>
    <w:rPr>
      <w:rFonts w:ascii="宋体" w:hAnsi="宋体" w:eastAsia="宋体"/>
      <w:kern w:val="2"/>
      <w:sz w:val="24"/>
      <w:lang w:val="en-US" w:eastAsia="zh-CN"/>
    </w:rPr>
  </w:style>
  <w:style w:type="paragraph" w:customStyle="1" w:styleId="165">
    <w:name w:val="（符号）三标题1.1 Char"/>
    <w:basedOn w:val="1"/>
    <w:link w:val="164"/>
    <w:autoRedefine/>
    <w:qFormat/>
    <w:uiPriority w:val="0"/>
    <w:pPr>
      <w:tabs>
        <w:tab w:val="left" w:pos="700"/>
      </w:tabs>
      <w:spacing w:line="500" w:lineRule="exact"/>
      <w:ind w:left="700" w:hanging="700"/>
    </w:pPr>
    <w:rPr>
      <w:rFonts w:ascii="宋体" w:hAnsi="宋体"/>
      <w:sz w:val="24"/>
      <w:szCs w:val="20"/>
    </w:rPr>
  </w:style>
  <w:style w:type="character" w:customStyle="1" w:styleId="166">
    <w:name w:val="No Spacing Char"/>
    <w:link w:val="167"/>
    <w:autoRedefine/>
    <w:qFormat/>
    <w:locked/>
    <w:uiPriority w:val="0"/>
    <w:rPr>
      <w:rFonts w:ascii="Calibri" w:hAnsi="Calibri" w:eastAsia="宋体"/>
      <w:sz w:val="22"/>
      <w:lang w:val="en-US" w:eastAsia="en-US"/>
    </w:rPr>
  </w:style>
  <w:style w:type="paragraph" w:customStyle="1" w:styleId="167">
    <w:name w:val="No Spacing1"/>
    <w:basedOn w:val="1"/>
    <w:link w:val="166"/>
    <w:autoRedefine/>
    <w:qFormat/>
    <w:uiPriority w:val="0"/>
    <w:pPr>
      <w:widowControl/>
      <w:jc w:val="left"/>
    </w:pPr>
    <w:rPr>
      <w:kern w:val="0"/>
      <w:sz w:val="22"/>
      <w:szCs w:val="20"/>
      <w:lang w:eastAsia="en-US"/>
    </w:rPr>
  </w:style>
  <w:style w:type="character" w:customStyle="1" w:styleId="168">
    <w:name w:val="默认段落字体1"/>
    <w:autoRedefine/>
    <w:qFormat/>
    <w:uiPriority w:val="0"/>
  </w:style>
  <w:style w:type="character" w:customStyle="1" w:styleId="169">
    <w:name w:val="WW8Num6z0"/>
    <w:autoRedefine/>
    <w:qFormat/>
    <w:uiPriority w:val="0"/>
    <w:rPr>
      <w:rFonts w:ascii="Wingdings" w:hAnsi="Wingdings"/>
    </w:rPr>
  </w:style>
  <w:style w:type="character" w:customStyle="1" w:styleId="170">
    <w:name w:val="WW8Num4z0"/>
    <w:autoRedefine/>
    <w:qFormat/>
    <w:uiPriority w:val="0"/>
    <w:rPr>
      <w:rFonts w:ascii="Wingdings" w:hAnsi="Wingdings"/>
    </w:rPr>
  </w:style>
  <w:style w:type="paragraph" w:customStyle="1" w:styleId="171">
    <w:name w:val="样式3"/>
    <w:basedOn w:val="1"/>
    <w:autoRedefine/>
    <w:qFormat/>
    <w:uiPriority w:val="0"/>
    <w:pPr>
      <w:widowControl/>
      <w:spacing w:after="200" w:line="276" w:lineRule="auto"/>
      <w:jc w:val="center"/>
    </w:pPr>
    <w:rPr>
      <w:kern w:val="0"/>
      <w:sz w:val="32"/>
      <w:szCs w:val="32"/>
      <w:lang w:eastAsia="en-US"/>
    </w:rPr>
  </w:style>
  <w:style w:type="paragraph" w:customStyle="1" w:styleId="172">
    <w:name w:val="（符号）内容三标题1."/>
    <w:basedOn w:val="1"/>
    <w:autoRedefine/>
    <w:qFormat/>
    <w:uiPriority w:val="0"/>
    <w:pPr>
      <w:tabs>
        <w:tab w:val="left" w:pos="420"/>
      </w:tabs>
      <w:spacing w:before="140" w:after="140" w:line="500" w:lineRule="exact"/>
      <w:ind w:left="430" w:hanging="430"/>
      <w:outlineLvl w:val="1"/>
    </w:pPr>
    <w:rPr>
      <w:rFonts w:eastAsia="楷体_GB2312"/>
      <w:b/>
      <w:sz w:val="28"/>
    </w:rPr>
  </w:style>
  <w:style w:type="paragraph" w:customStyle="1" w:styleId="173">
    <w:name w:val="xl2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0000"/>
      <w:kern w:val="0"/>
      <w:sz w:val="24"/>
    </w:rPr>
  </w:style>
  <w:style w:type="paragraph" w:customStyle="1" w:styleId="174">
    <w:name w:val="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75">
    <w:name w:val="xl5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76" w:lineRule="auto"/>
      <w:jc w:val="left"/>
    </w:pPr>
    <w:rPr>
      <w:rFonts w:ascii="宋体" w:hAnsi="宋体"/>
      <w:kern w:val="0"/>
      <w:sz w:val="20"/>
      <w:szCs w:val="20"/>
      <w:lang w:eastAsia="en-US"/>
    </w:rPr>
  </w:style>
  <w:style w:type="paragraph" w:customStyle="1" w:styleId="176">
    <w:name w:val="font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77">
    <w:name w:val="xl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6" w:lineRule="auto"/>
      <w:jc w:val="center"/>
    </w:pPr>
    <w:rPr>
      <w:rFonts w:ascii="宋体" w:hAnsi="宋体"/>
      <w:kern w:val="0"/>
      <w:sz w:val="20"/>
      <w:szCs w:val="20"/>
      <w:lang w:eastAsia="en-US"/>
    </w:rPr>
  </w:style>
  <w:style w:type="paragraph" w:customStyle="1" w:styleId="178">
    <w:name w:val="Char Char"/>
    <w:basedOn w:val="1"/>
    <w:autoRedefine/>
    <w:qFormat/>
    <w:uiPriority w:val="0"/>
    <w:rPr>
      <w:rFonts w:ascii="Tahoma" w:hAnsi="Tahoma"/>
      <w:sz w:val="24"/>
      <w:szCs w:val="20"/>
    </w:rPr>
  </w:style>
  <w:style w:type="paragraph" w:customStyle="1" w:styleId="179">
    <w:name w:val="（符号）内容四标题1.1.1"/>
    <w:basedOn w:val="1"/>
    <w:autoRedefine/>
    <w:qFormat/>
    <w:uiPriority w:val="0"/>
    <w:pPr>
      <w:tabs>
        <w:tab w:val="left" w:pos="1000"/>
      </w:tabs>
      <w:spacing w:line="500" w:lineRule="exact"/>
      <w:ind w:left="1000" w:hanging="1000"/>
    </w:pPr>
    <w:rPr>
      <w:rFonts w:ascii="宋体" w:hAnsi="宋体"/>
      <w:sz w:val="24"/>
    </w:rPr>
  </w:style>
  <w:style w:type="paragraph" w:customStyle="1" w:styleId="180">
    <w:name w:val="正文文字缩进 3"/>
    <w:basedOn w:val="1"/>
    <w:autoRedefine/>
    <w:qFormat/>
    <w:uiPriority w:val="0"/>
    <w:pPr>
      <w:suppressAutoHyphens/>
      <w:spacing w:after="120"/>
      <w:ind w:left="420"/>
    </w:pPr>
    <w:rPr>
      <w:kern w:val="1"/>
      <w:sz w:val="16"/>
      <w:szCs w:val="16"/>
      <w:lang w:eastAsia="ar-SA"/>
    </w:rPr>
  </w:style>
  <w:style w:type="paragraph" w:customStyle="1" w:styleId="181">
    <w:name w:val="正文文字 3"/>
    <w:basedOn w:val="1"/>
    <w:autoRedefine/>
    <w:qFormat/>
    <w:uiPriority w:val="0"/>
    <w:pPr>
      <w:suppressAutoHyphens/>
      <w:spacing w:after="120"/>
    </w:pPr>
    <w:rPr>
      <w:kern w:val="1"/>
      <w:sz w:val="16"/>
      <w:szCs w:val="16"/>
      <w:lang w:eastAsia="ar-SA"/>
    </w:rPr>
  </w:style>
  <w:style w:type="paragraph" w:customStyle="1" w:styleId="182">
    <w:name w:val="文档结构图1"/>
    <w:basedOn w:val="1"/>
    <w:autoRedefine/>
    <w:qFormat/>
    <w:uiPriority w:val="0"/>
    <w:pPr>
      <w:shd w:val="clear" w:color="auto" w:fill="000080"/>
      <w:suppressAutoHyphens/>
    </w:pPr>
    <w:rPr>
      <w:kern w:val="1"/>
      <w:lang w:eastAsia="ar-SA"/>
    </w:rPr>
  </w:style>
  <w:style w:type="paragraph" w:customStyle="1" w:styleId="183">
    <w:name w:val="subtitle 2"/>
    <w:basedOn w:val="1"/>
    <w:autoRedefine/>
    <w:qFormat/>
    <w:uiPriority w:val="0"/>
    <w:pPr>
      <w:widowControl/>
      <w:overflowPunct w:val="0"/>
      <w:autoSpaceDE w:val="0"/>
      <w:autoSpaceDN w:val="0"/>
      <w:adjustRightInd w:val="0"/>
      <w:spacing w:before="240" w:after="240" w:line="312" w:lineRule="atLeast"/>
      <w:jc w:val="left"/>
      <w:textAlignment w:val="baseline"/>
    </w:pPr>
    <w:rPr>
      <w:rFonts w:ascii="黑体" w:eastAsia="黑体"/>
      <w:kern w:val="0"/>
      <w:sz w:val="24"/>
      <w:szCs w:val="20"/>
      <w:lang w:eastAsia="en-US"/>
    </w:rPr>
  </w:style>
  <w:style w:type="paragraph" w:customStyle="1" w:styleId="184">
    <w:name w:val="（符号）二标题1"/>
    <w:basedOn w:val="1"/>
    <w:autoRedefine/>
    <w:qFormat/>
    <w:uiPriority w:val="0"/>
    <w:pPr>
      <w:spacing w:before="140" w:after="140" w:line="500" w:lineRule="exact"/>
      <w:outlineLvl w:val="1"/>
    </w:pPr>
    <w:rPr>
      <w:rFonts w:ascii="楷体_GB2312" w:eastAsia="楷体_GB2312" w:cs="宋体"/>
      <w:b/>
      <w:bCs/>
      <w:sz w:val="28"/>
      <w:szCs w:val="20"/>
    </w:rPr>
  </w:style>
  <w:style w:type="paragraph" w:customStyle="1" w:styleId="185">
    <w:name w:val="章标题"/>
    <w:next w:val="186"/>
    <w:autoRedefine/>
    <w:qFormat/>
    <w:uiPriority w:val="0"/>
    <w:pPr>
      <w:tabs>
        <w:tab w:val="left" w:pos="360"/>
      </w:tabs>
      <w:spacing w:beforeLines="50" w:afterLines="50"/>
      <w:jc w:val="both"/>
      <w:outlineLvl w:val="1"/>
    </w:pPr>
    <w:rPr>
      <w:rFonts w:ascii="黑体" w:hAnsi="Times New Roman" w:eastAsia="黑体" w:cs="Times New Roman"/>
      <w:sz w:val="21"/>
      <w:lang w:val="en-US" w:eastAsia="zh-CN" w:bidi="ar-SA"/>
    </w:rPr>
  </w:style>
  <w:style w:type="paragraph" w:customStyle="1" w:styleId="18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7">
    <w:name w:val="Char Char Char Char Char Char1 Char Char 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8">
    <w:name w:val="（符号）内容四标题1.1.12"/>
    <w:basedOn w:val="1"/>
    <w:autoRedefine/>
    <w:qFormat/>
    <w:uiPriority w:val="0"/>
    <w:pPr>
      <w:tabs>
        <w:tab w:val="left" w:pos="1000"/>
      </w:tabs>
      <w:spacing w:line="500" w:lineRule="exact"/>
      <w:ind w:left="1000" w:hanging="1000"/>
    </w:pPr>
    <w:rPr>
      <w:sz w:val="24"/>
    </w:rPr>
  </w:style>
  <w:style w:type="paragraph" w:customStyle="1" w:styleId="189">
    <w:name w:val="xl4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rPr>
  </w:style>
  <w:style w:type="paragraph" w:customStyle="1" w:styleId="190">
    <w:name w:val="前言、引言标题"/>
    <w:next w:val="1"/>
    <w:autoRedefine/>
    <w:qFormat/>
    <w:uiPriority w:val="0"/>
    <w:p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191">
    <w:name w:val="Char Char Char Char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92">
    <w:name w:val="样式 样式 样式 样式 标题 2 + 宋体 五号 非加粗 黑色 + 段前: 6 磅 段后: 0 磅 行距: 单倍行距 + 段前:..."/>
    <w:basedOn w:val="1"/>
    <w:autoRedefine/>
    <w:qFormat/>
    <w:uiPriority w:val="0"/>
    <w:pPr>
      <w:keepNext/>
      <w:keepLines/>
      <w:tabs>
        <w:tab w:val="left" w:pos="1440"/>
      </w:tabs>
      <w:adjustRightInd w:val="0"/>
      <w:spacing w:before="240"/>
      <w:ind w:left="1440" w:hanging="360"/>
      <w:jc w:val="left"/>
      <w:textAlignment w:val="baseline"/>
      <w:outlineLvl w:val="1"/>
    </w:pPr>
    <w:rPr>
      <w:rFonts w:ascii="宋体" w:hAnsi="宋体" w:cs="宋体"/>
      <w:b/>
      <w:bCs/>
      <w:color w:val="000000"/>
      <w:kern w:val="0"/>
      <w:szCs w:val="20"/>
    </w:rPr>
  </w:style>
  <w:style w:type="paragraph" w:customStyle="1" w:styleId="193">
    <w:name w:val="xl4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4"/>
    </w:rPr>
  </w:style>
  <w:style w:type="paragraph" w:customStyle="1" w:styleId="194">
    <w:name w:val="正文3"/>
    <w:autoRedefine/>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95">
    <w:name w:val="xl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96">
    <w:name w:val="内容目录 10"/>
    <w:basedOn w:val="197"/>
    <w:autoRedefine/>
    <w:qFormat/>
    <w:uiPriority w:val="0"/>
    <w:pPr>
      <w:tabs>
        <w:tab w:val="right" w:leader="dot" w:pos="9637"/>
      </w:tabs>
      <w:ind w:left="2547"/>
    </w:pPr>
  </w:style>
  <w:style w:type="paragraph" w:customStyle="1" w:styleId="197">
    <w:name w:val="目录"/>
    <w:basedOn w:val="1"/>
    <w:autoRedefine/>
    <w:qFormat/>
    <w:uiPriority w:val="0"/>
    <w:pPr>
      <w:suppressLineNumbers/>
      <w:suppressAutoHyphens/>
    </w:pPr>
    <w:rPr>
      <w:kern w:val="1"/>
      <w:lang w:eastAsia="ar-SA"/>
    </w:rPr>
  </w:style>
  <w:style w:type="paragraph" w:customStyle="1" w:styleId="198">
    <w:name w:val="样式 小四 行距: 固定值 25 磅"/>
    <w:basedOn w:val="1"/>
    <w:next w:val="199"/>
    <w:autoRedefine/>
    <w:qFormat/>
    <w:uiPriority w:val="0"/>
    <w:pPr>
      <w:spacing w:line="500" w:lineRule="exact"/>
    </w:pPr>
    <w:rPr>
      <w:rFonts w:cs="宋体"/>
      <w:sz w:val="24"/>
      <w:szCs w:val="20"/>
    </w:rPr>
  </w:style>
  <w:style w:type="paragraph" w:customStyle="1" w:styleId="199">
    <w:name w:val="（符号）目录1"/>
    <w:basedOn w:val="1"/>
    <w:autoRedefine/>
    <w:qFormat/>
    <w:uiPriority w:val="0"/>
    <w:pPr>
      <w:spacing w:line="500" w:lineRule="exact"/>
    </w:pPr>
    <w:rPr>
      <w:rFonts w:cs="宋体"/>
      <w:sz w:val="24"/>
      <w:szCs w:val="20"/>
    </w:rPr>
  </w:style>
  <w:style w:type="paragraph" w:customStyle="1" w:styleId="200">
    <w:name w:val="样式 标题 4 + 左侧:  1.11 厘米"/>
    <w:basedOn w:val="5"/>
    <w:autoRedefine/>
    <w:qFormat/>
    <w:uiPriority w:val="0"/>
    <w:pPr>
      <w:widowControl/>
      <w:adjustRightInd/>
      <w:snapToGrid/>
      <w:spacing w:line="377" w:lineRule="auto"/>
      <w:ind w:left="0" w:firstLine="0"/>
      <w:jc w:val="left"/>
    </w:pPr>
    <w:rPr>
      <w:rFonts w:ascii="Arial" w:hAnsi="Arial" w:eastAsia="黑体" w:cs="Arial"/>
      <w:kern w:val="2"/>
      <w:sz w:val="30"/>
      <w:szCs w:val="30"/>
    </w:rPr>
  </w:style>
  <w:style w:type="paragraph" w:customStyle="1" w:styleId="201">
    <w:name w:val="样式1"/>
    <w:basedOn w:val="1"/>
    <w:autoRedefine/>
    <w:qFormat/>
    <w:uiPriority w:val="0"/>
    <w:pPr>
      <w:tabs>
        <w:tab w:val="left" w:pos="709"/>
      </w:tabs>
      <w:adjustRightInd w:val="0"/>
      <w:ind w:left="709" w:hanging="709"/>
      <w:textAlignment w:val="baseline"/>
    </w:pPr>
    <w:rPr>
      <w:rFonts w:ascii="宋体" w:hAnsi="宋体"/>
      <w:kern w:val="0"/>
      <w:szCs w:val="21"/>
    </w:rPr>
  </w:style>
  <w:style w:type="paragraph" w:customStyle="1" w:styleId="202">
    <w:name w:val="xl2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rPr>
  </w:style>
  <w:style w:type="paragraph" w:customStyle="1" w:styleId="203">
    <w:name w:val="zw1"/>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204">
    <w:name w:val="table_lines"/>
    <w:basedOn w:val="1"/>
    <w:autoRedefine/>
    <w:qFormat/>
    <w:uiPriority w:val="0"/>
    <w:pPr>
      <w:widowControl/>
      <w:jc w:val="left"/>
    </w:pPr>
    <w:rPr>
      <w:kern w:val="0"/>
      <w:sz w:val="20"/>
      <w:szCs w:val="20"/>
      <w:lang w:val="de-DE"/>
    </w:rPr>
  </w:style>
  <w:style w:type="paragraph" w:customStyle="1" w:styleId="205">
    <w:name w:val="二级条标题"/>
    <w:basedOn w:val="206"/>
    <w:next w:val="186"/>
    <w:autoRedefine/>
    <w:qFormat/>
    <w:uiPriority w:val="0"/>
    <w:pPr>
      <w:tabs>
        <w:tab w:val="left" w:pos="360"/>
        <w:tab w:val="left" w:pos="1740"/>
        <w:tab w:val="left" w:pos="2160"/>
      </w:tabs>
      <w:ind w:left="0"/>
      <w:outlineLvl w:val="3"/>
    </w:pPr>
  </w:style>
  <w:style w:type="paragraph" w:customStyle="1" w:styleId="206">
    <w:name w:val="一级条标题"/>
    <w:basedOn w:val="185"/>
    <w:next w:val="186"/>
    <w:autoRedefine/>
    <w:qFormat/>
    <w:uiPriority w:val="0"/>
    <w:pPr>
      <w:tabs>
        <w:tab w:val="left" w:pos="1740"/>
      </w:tabs>
      <w:spacing w:beforeLines="0" w:afterLines="0"/>
      <w:ind w:left="1740" w:hanging="420"/>
      <w:outlineLvl w:val="2"/>
    </w:pPr>
  </w:style>
  <w:style w:type="paragraph" w:customStyle="1" w:styleId="207">
    <w:name w:val="xl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08">
    <w:name w:val="正文2"/>
    <w:basedOn w:val="1"/>
    <w:autoRedefine/>
    <w:qFormat/>
    <w:uiPriority w:val="0"/>
    <w:pPr>
      <w:spacing w:before="156" w:line="360" w:lineRule="auto"/>
      <w:ind w:firstLine="510" w:firstLineChars="200"/>
    </w:pPr>
    <w:rPr>
      <w:rFonts w:eastAsia="仿宋_GB2312"/>
      <w:sz w:val="24"/>
    </w:rPr>
  </w:style>
  <w:style w:type="paragraph" w:customStyle="1" w:styleId="209">
    <w:name w:val="样式2"/>
    <w:basedOn w:val="1"/>
    <w:autoRedefine/>
    <w:qFormat/>
    <w:uiPriority w:val="0"/>
    <w:pPr>
      <w:tabs>
        <w:tab w:val="left" w:pos="420"/>
      </w:tabs>
      <w:spacing w:line="500" w:lineRule="exact"/>
      <w:ind w:left="430" w:hanging="430"/>
    </w:pPr>
    <w:rPr>
      <w:sz w:val="24"/>
    </w:rPr>
  </w:style>
  <w:style w:type="paragraph" w:customStyle="1" w:styleId="210">
    <w:name w:val="List Paragraph1"/>
    <w:autoRedefine/>
    <w:qFormat/>
    <w:uiPriority w:val="99"/>
    <w:pPr>
      <w:widowControl w:val="0"/>
      <w:ind w:firstLine="420"/>
      <w:jc w:val="both"/>
    </w:pPr>
    <w:rPr>
      <w:rFonts w:ascii="Arial Unicode MS" w:hAnsi="Arial Unicode MS" w:eastAsia="宋体" w:cs="Arial Unicode MS"/>
      <w:color w:val="000000"/>
      <w:kern w:val="2"/>
      <w:sz w:val="21"/>
      <w:szCs w:val="21"/>
      <w:u w:color="000000"/>
      <w:lang w:val="en-US" w:eastAsia="zh-CN" w:bidi="ar-SA"/>
    </w:rPr>
  </w:style>
  <w:style w:type="paragraph" w:customStyle="1" w:styleId="211">
    <w:name w:val="(符号)一标题第一部分"/>
    <w:basedOn w:val="1"/>
    <w:autoRedefine/>
    <w:qFormat/>
    <w:uiPriority w:val="0"/>
    <w:pPr>
      <w:spacing w:beforeLines="100" w:afterLines="100" w:line="500" w:lineRule="exact"/>
      <w:jc w:val="center"/>
      <w:outlineLvl w:val="1"/>
    </w:pPr>
    <w:rPr>
      <w:rFonts w:ascii="黑体" w:eastAsia="黑体" w:cs="宋体"/>
      <w:b/>
      <w:bCs/>
      <w:sz w:val="32"/>
      <w:szCs w:val="32"/>
    </w:rPr>
  </w:style>
  <w:style w:type="paragraph" w:customStyle="1" w:styleId="212">
    <w:name w:val="reader-word-layer reader-word-s1-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13">
    <w:name w:val="xl3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rPr>
  </w:style>
  <w:style w:type="paragraph" w:customStyle="1" w:styleId="214">
    <w:name w:val="xl4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b/>
      <w:bCs/>
      <w:color w:val="000000"/>
      <w:kern w:val="0"/>
      <w:sz w:val="24"/>
    </w:rPr>
  </w:style>
  <w:style w:type="paragraph" w:customStyle="1" w:styleId="215">
    <w:name w:val="font7"/>
    <w:basedOn w:val="1"/>
    <w:autoRedefine/>
    <w:qFormat/>
    <w:uiPriority w:val="0"/>
    <w:pPr>
      <w:widowControl/>
      <w:spacing w:before="100" w:beforeAutospacing="1" w:after="100" w:afterAutospacing="1"/>
      <w:jc w:val="left"/>
    </w:pPr>
    <w:rPr>
      <w:b/>
      <w:bCs/>
      <w:kern w:val="0"/>
      <w:sz w:val="22"/>
      <w:szCs w:val="22"/>
    </w:rPr>
  </w:style>
  <w:style w:type="paragraph" w:customStyle="1" w:styleId="216">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17">
    <w:name w:val="xl3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4"/>
    </w:rPr>
  </w:style>
  <w:style w:type="paragraph" w:customStyle="1" w:styleId="218">
    <w:name w:val="p121"/>
    <w:basedOn w:val="1"/>
    <w:autoRedefine/>
    <w:qFormat/>
    <w:uiPriority w:val="0"/>
    <w:pPr>
      <w:widowControl/>
      <w:spacing w:before="100" w:beforeAutospacing="1" w:after="100" w:afterAutospacing="1" w:line="276" w:lineRule="auto"/>
      <w:jc w:val="left"/>
    </w:pPr>
    <w:rPr>
      <w:rFonts w:ascii="宋体" w:hAnsi="宋体"/>
      <w:color w:val="000000"/>
      <w:kern w:val="0"/>
      <w:sz w:val="24"/>
      <w:szCs w:val="22"/>
      <w:lang w:eastAsia="en-US"/>
    </w:rPr>
  </w:style>
  <w:style w:type="paragraph" w:customStyle="1" w:styleId="219">
    <w:name w:val="xl6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6" w:lineRule="auto"/>
      <w:jc w:val="left"/>
    </w:pPr>
    <w:rPr>
      <w:rFonts w:ascii="宋体" w:hAnsi="宋体"/>
      <w:kern w:val="0"/>
      <w:sz w:val="20"/>
      <w:szCs w:val="20"/>
      <w:lang w:eastAsia="en-US"/>
    </w:rPr>
  </w:style>
  <w:style w:type="paragraph" w:customStyle="1" w:styleId="220">
    <w:name w:val="font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21">
    <w:name w:val="(符号)四标题1.1"/>
    <w:basedOn w:val="1"/>
    <w:autoRedefine/>
    <w:qFormat/>
    <w:uiPriority w:val="0"/>
    <w:pPr>
      <w:tabs>
        <w:tab w:val="left" w:pos="567"/>
      </w:tabs>
      <w:spacing w:line="500" w:lineRule="exact"/>
      <w:ind w:left="567" w:hanging="567"/>
    </w:pPr>
    <w:rPr>
      <w:rFonts w:ascii="宋体" w:hAnsi="宋体" w:cs="宋体"/>
      <w:color w:val="000000"/>
      <w:kern w:val="0"/>
      <w:sz w:val="24"/>
      <w:szCs w:val="20"/>
    </w:rPr>
  </w:style>
  <w:style w:type="paragraph" w:customStyle="1" w:styleId="222">
    <w:name w:val="xl3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223">
    <w:name w:val="标签"/>
    <w:basedOn w:val="1"/>
    <w:autoRedefine/>
    <w:qFormat/>
    <w:uiPriority w:val="0"/>
    <w:pPr>
      <w:suppressLineNumbers/>
      <w:suppressAutoHyphens/>
      <w:spacing w:before="120" w:after="120"/>
    </w:pPr>
    <w:rPr>
      <w:i/>
      <w:iCs/>
      <w:kern w:val="1"/>
      <w:sz w:val="24"/>
      <w:lang w:eastAsia="ar-SA"/>
    </w:rPr>
  </w:style>
  <w:style w:type="paragraph" w:customStyle="1" w:styleId="224">
    <w:name w:val="标题1"/>
    <w:basedOn w:val="1"/>
    <w:next w:val="19"/>
    <w:autoRedefine/>
    <w:qFormat/>
    <w:uiPriority w:val="0"/>
    <w:pPr>
      <w:keepNext/>
      <w:suppressAutoHyphens/>
      <w:spacing w:before="240" w:after="120"/>
    </w:pPr>
    <w:rPr>
      <w:rFonts w:ascii="AR PL ShanHeiSun Uni" w:hAnsi="AR PL ShanHeiSun Uni" w:cs="AR PL ShanHeiSun Uni"/>
      <w:kern w:val="1"/>
      <w:sz w:val="28"/>
      <w:szCs w:val="28"/>
      <w:lang w:eastAsia="ar-SA"/>
    </w:rPr>
  </w:style>
  <w:style w:type="paragraph" w:customStyle="1" w:styleId="225">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226">
    <w:name w:val="xiao b"/>
    <w:basedOn w:val="1"/>
    <w:autoRedefine/>
    <w:qFormat/>
    <w:uiPriority w:val="0"/>
    <w:pPr>
      <w:jc w:val="center"/>
    </w:pPr>
    <w:rPr>
      <w:rFonts w:eastAsia="黑体"/>
      <w:sz w:val="24"/>
      <w:szCs w:val="20"/>
    </w:rPr>
  </w:style>
  <w:style w:type="paragraph" w:customStyle="1" w:styleId="227">
    <w:name w:val="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28">
    <w:name w:val="xl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76" w:lineRule="auto"/>
      <w:jc w:val="left"/>
    </w:pPr>
    <w:rPr>
      <w:rFonts w:ascii="宋体" w:hAnsi="宋体"/>
      <w:kern w:val="0"/>
      <w:sz w:val="20"/>
      <w:szCs w:val="20"/>
      <w:lang w:eastAsia="en-US"/>
    </w:rPr>
  </w:style>
  <w:style w:type="paragraph" w:customStyle="1" w:styleId="229">
    <w:name w:val="xl5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76" w:lineRule="auto"/>
      <w:jc w:val="left"/>
    </w:pPr>
    <w:rPr>
      <w:rFonts w:ascii="宋体" w:hAnsi="宋体"/>
      <w:kern w:val="0"/>
      <w:sz w:val="20"/>
      <w:szCs w:val="20"/>
      <w:lang w:eastAsia="en-US"/>
    </w:rPr>
  </w:style>
  <w:style w:type="paragraph" w:customStyle="1" w:styleId="230">
    <w:name w:val="样式 标题 1 + 四号 居中 段前: 12 磅 段后: 12 磅 行距: 单倍行距"/>
    <w:basedOn w:val="2"/>
    <w:autoRedefine/>
    <w:qFormat/>
    <w:uiPriority w:val="0"/>
    <w:pPr>
      <w:tabs>
        <w:tab w:val="left" w:pos="810"/>
      </w:tabs>
      <w:autoSpaceDE/>
      <w:autoSpaceDN/>
      <w:spacing w:before="240" w:after="240" w:line="240" w:lineRule="auto"/>
      <w:ind w:left="810" w:hanging="390"/>
      <w:textAlignment w:val="baseline"/>
    </w:pPr>
    <w:rPr>
      <w:rFonts w:ascii="Times New Roman" w:cs="黑体"/>
      <w:bCs/>
      <w:kern w:val="44"/>
      <w:sz w:val="28"/>
    </w:rPr>
  </w:style>
  <w:style w:type="paragraph" w:customStyle="1" w:styleId="231">
    <w:name w:val="1"/>
    <w:basedOn w:val="1"/>
    <w:next w:val="180"/>
    <w:autoRedefine/>
    <w:qFormat/>
    <w:uiPriority w:val="0"/>
    <w:pPr>
      <w:suppressAutoHyphens/>
      <w:spacing w:line="360" w:lineRule="auto"/>
      <w:ind w:firstLine="480"/>
    </w:pPr>
    <w:rPr>
      <w:kern w:val="1"/>
      <w:sz w:val="24"/>
      <w:lang w:eastAsia="ar-SA"/>
    </w:rPr>
  </w:style>
  <w:style w:type="paragraph" w:customStyle="1" w:styleId="232">
    <w:name w:val="正文1"/>
    <w:basedOn w:val="1"/>
    <w:autoRedefine/>
    <w:qFormat/>
    <w:uiPriority w:val="0"/>
    <w:pPr>
      <w:widowControl/>
      <w:spacing w:after="200" w:line="300" w:lineRule="atLeast"/>
      <w:jc w:val="left"/>
    </w:pPr>
    <w:rPr>
      <w:rFonts w:cs="宋体"/>
      <w:kern w:val="0"/>
      <w:sz w:val="22"/>
      <w:szCs w:val="22"/>
    </w:rPr>
  </w:style>
  <w:style w:type="paragraph" w:customStyle="1" w:styleId="233">
    <w:name w:val="xl4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细黑" w:hAnsi="华文细黑" w:eastAsia="华文细黑" w:cs="宋体"/>
      <w:color w:val="000000"/>
      <w:kern w:val="0"/>
      <w:sz w:val="24"/>
    </w:rPr>
  </w:style>
  <w:style w:type="paragraph" w:customStyle="1" w:styleId="234">
    <w:name w:val="xl4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rPr>
  </w:style>
  <w:style w:type="paragraph" w:customStyle="1" w:styleId="235">
    <w:name w:val="Char Char Char Char Char Char Char Char Char Char Char Char Char Char Char Char Char Char Char1"/>
    <w:basedOn w:val="1"/>
    <w:autoRedefine/>
    <w:qFormat/>
    <w:uiPriority w:val="0"/>
    <w:rPr>
      <w:rFonts w:ascii="Tahoma" w:hAnsi="Tahoma"/>
      <w:sz w:val="24"/>
      <w:szCs w:val="20"/>
    </w:rPr>
  </w:style>
  <w:style w:type="paragraph" w:customStyle="1" w:styleId="236">
    <w:name w:val="xl4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237">
    <w:name w:val="四级条标题"/>
    <w:basedOn w:val="238"/>
    <w:next w:val="186"/>
    <w:autoRedefine/>
    <w:qFormat/>
    <w:uiPriority w:val="0"/>
    <w:pPr>
      <w:tabs>
        <w:tab w:val="left" w:pos="360"/>
        <w:tab w:val="left" w:pos="1740"/>
        <w:tab w:val="left" w:pos="2160"/>
        <w:tab w:val="left" w:pos="2580"/>
        <w:tab w:val="left" w:pos="3000"/>
      </w:tabs>
      <w:ind w:left="3000"/>
      <w:outlineLvl w:val="5"/>
    </w:pPr>
  </w:style>
  <w:style w:type="paragraph" w:customStyle="1" w:styleId="238">
    <w:name w:val="三级条标题"/>
    <w:basedOn w:val="205"/>
    <w:next w:val="186"/>
    <w:autoRedefine/>
    <w:qFormat/>
    <w:uiPriority w:val="0"/>
    <w:pPr>
      <w:tabs>
        <w:tab w:val="left" w:pos="2580"/>
      </w:tabs>
      <w:ind w:left="2580"/>
      <w:outlineLvl w:val="4"/>
    </w:pPr>
  </w:style>
  <w:style w:type="paragraph" w:customStyle="1" w:styleId="239">
    <w:name w:val="（符号）目录2"/>
    <w:basedOn w:val="1"/>
    <w:autoRedefine/>
    <w:qFormat/>
    <w:uiPriority w:val="0"/>
    <w:pPr>
      <w:spacing w:line="500" w:lineRule="exact"/>
      <w:ind w:left="480"/>
    </w:pPr>
    <w:rPr>
      <w:rFonts w:cs="宋体"/>
      <w:sz w:val="24"/>
      <w:szCs w:val="20"/>
    </w:rPr>
  </w:style>
  <w:style w:type="paragraph" w:customStyle="1" w:styleId="240">
    <w:name w:val="圆点标号"/>
    <w:basedOn w:val="1"/>
    <w:autoRedefine/>
    <w:qFormat/>
    <w:uiPriority w:val="0"/>
    <w:pPr>
      <w:tabs>
        <w:tab w:val="left" w:pos="1440"/>
      </w:tabs>
      <w:spacing w:line="360" w:lineRule="auto"/>
      <w:ind w:left="839" w:hanging="357"/>
    </w:pPr>
    <w:rPr>
      <w:sz w:val="24"/>
    </w:rPr>
  </w:style>
  <w:style w:type="paragraph" w:customStyle="1" w:styleId="241">
    <w:name w:val="框内容"/>
    <w:basedOn w:val="19"/>
    <w:autoRedefine/>
    <w:qFormat/>
    <w:uiPriority w:val="0"/>
    <w:pPr>
      <w:suppressAutoHyphens/>
    </w:pPr>
    <w:rPr>
      <w:kern w:val="1"/>
      <w:lang w:eastAsia="ar-SA"/>
    </w:rPr>
  </w:style>
  <w:style w:type="paragraph" w:customStyle="1" w:styleId="242">
    <w:name w:val="（符号）内容四标题1.1"/>
    <w:basedOn w:val="1"/>
    <w:autoRedefine/>
    <w:qFormat/>
    <w:uiPriority w:val="0"/>
    <w:pPr>
      <w:tabs>
        <w:tab w:val="left" w:pos="420"/>
      </w:tabs>
      <w:spacing w:line="500" w:lineRule="exact"/>
      <w:ind w:left="430" w:hanging="430"/>
    </w:pPr>
    <w:rPr>
      <w:rFonts w:ascii="黑体"/>
      <w:sz w:val="24"/>
      <w:szCs w:val="21"/>
    </w:rPr>
  </w:style>
  <w:style w:type="paragraph" w:customStyle="1" w:styleId="243">
    <w:name w:val="表格内容"/>
    <w:basedOn w:val="1"/>
    <w:autoRedefine/>
    <w:qFormat/>
    <w:uiPriority w:val="0"/>
    <w:pPr>
      <w:suppressLineNumbers/>
      <w:suppressAutoHyphens/>
    </w:pPr>
    <w:rPr>
      <w:kern w:val="1"/>
      <w:lang w:eastAsia="ar-SA"/>
    </w:rPr>
  </w:style>
  <w:style w:type="paragraph" w:customStyle="1" w:styleId="244">
    <w:name w:val="（符号）二标题总则"/>
    <w:basedOn w:val="211"/>
    <w:autoRedefine/>
    <w:qFormat/>
    <w:uiPriority w:val="0"/>
    <w:pPr>
      <w:spacing w:beforeLines="50" w:afterLines="50" w:line="440" w:lineRule="atLeast"/>
    </w:pPr>
  </w:style>
  <w:style w:type="paragraph" w:customStyle="1" w:styleId="245">
    <w:name w:val="重点"/>
    <w:basedOn w:val="1"/>
    <w:autoRedefine/>
    <w:qFormat/>
    <w:uiPriority w:val="0"/>
    <w:pPr>
      <w:spacing w:line="360" w:lineRule="auto"/>
      <w:ind w:left="284"/>
    </w:pPr>
    <w:rPr>
      <w:rFonts w:ascii="Arial Black" w:hAnsi="Arial Black" w:eastAsia="楷体_GB2312" w:cs="Arial Black"/>
      <w:b/>
      <w:bCs/>
      <w:sz w:val="28"/>
      <w:szCs w:val="28"/>
    </w:rPr>
  </w:style>
  <w:style w:type="paragraph" w:customStyle="1" w:styleId="246">
    <w:name w:val="日期1"/>
    <w:basedOn w:val="1"/>
    <w:next w:val="1"/>
    <w:autoRedefine/>
    <w:qFormat/>
    <w:uiPriority w:val="0"/>
    <w:pPr>
      <w:suppressAutoHyphens/>
      <w:ind w:left="100"/>
    </w:pPr>
    <w:rPr>
      <w:rFonts w:eastAsia="楷体_GB2312"/>
      <w:b/>
      <w:kern w:val="1"/>
      <w:sz w:val="36"/>
      <w:szCs w:val="30"/>
      <w:lang w:eastAsia="ar-SA"/>
    </w:rPr>
  </w:style>
  <w:style w:type="paragraph" w:customStyle="1" w:styleId="247">
    <w:name w:val="（符号）二标题1."/>
    <w:basedOn w:val="1"/>
    <w:autoRedefine/>
    <w:qFormat/>
    <w:uiPriority w:val="0"/>
  </w:style>
  <w:style w:type="paragraph" w:customStyle="1" w:styleId="248">
    <w:name w:val="head 1.1"/>
    <w:basedOn w:val="149"/>
    <w:autoRedefine/>
    <w:qFormat/>
    <w:uiPriority w:val="0"/>
    <w:pPr>
      <w:numPr>
        <w:ilvl w:val="1"/>
        <w:numId w:val="2"/>
      </w:numPr>
      <w:spacing w:before="260" w:after="260"/>
      <w:ind w:firstLine="0" w:firstLineChars="0"/>
    </w:pPr>
    <w:rPr>
      <w:rFonts w:ascii="宋体" w:hAnsi="宋体"/>
      <w:bCs/>
    </w:rPr>
  </w:style>
  <w:style w:type="paragraph" w:customStyle="1" w:styleId="249">
    <w:name w:val="xl40"/>
    <w:basedOn w:val="1"/>
    <w:autoRedefine/>
    <w:qFormat/>
    <w:uiPriority w:val="0"/>
    <w:pPr>
      <w:widowControl/>
      <w:spacing w:before="100" w:beforeAutospacing="1" w:after="100" w:afterAutospacing="1"/>
      <w:jc w:val="center"/>
    </w:pPr>
    <w:rPr>
      <w:kern w:val="0"/>
      <w:szCs w:val="21"/>
    </w:rPr>
  </w:style>
  <w:style w:type="paragraph" w:customStyle="1" w:styleId="250">
    <w:name w:val="（符号）目录3"/>
    <w:basedOn w:val="1"/>
    <w:autoRedefine/>
    <w:qFormat/>
    <w:uiPriority w:val="0"/>
    <w:pPr>
      <w:spacing w:line="500" w:lineRule="exact"/>
      <w:ind w:left="1000"/>
    </w:pPr>
    <w:rPr>
      <w:rFonts w:cs="宋体"/>
      <w:sz w:val="24"/>
      <w:szCs w:val="20"/>
    </w:rPr>
  </w:style>
  <w:style w:type="paragraph" w:customStyle="1" w:styleId="251">
    <w:name w:val="2"/>
    <w:basedOn w:val="1"/>
    <w:next w:val="24"/>
    <w:autoRedefine/>
    <w:qFormat/>
    <w:uiPriority w:val="0"/>
    <w:rPr>
      <w:rFonts w:ascii="宋体" w:hAnsi="Courier New"/>
      <w:szCs w:val="20"/>
    </w:rPr>
  </w:style>
  <w:style w:type="paragraph" w:customStyle="1" w:styleId="252">
    <w:name w:val="Char1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53">
    <w:name w:val="xl2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rPr>
  </w:style>
  <w:style w:type="paragraph" w:customStyle="1" w:styleId="254">
    <w:name w:val="我的重点"/>
    <w:basedOn w:val="245"/>
    <w:autoRedefine/>
    <w:qFormat/>
    <w:uiPriority w:val="0"/>
    <w:pPr>
      <w:ind w:left="0"/>
    </w:pPr>
    <w:rPr>
      <w:rFonts w:eastAsia="华文楷体"/>
      <w:i/>
      <w:iCs/>
    </w:rPr>
  </w:style>
  <w:style w:type="paragraph" w:customStyle="1" w:styleId="255">
    <w:name w:val="xl4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4"/>
    </w:rPr>
  </w:style>
  <w:style w:type="paragraph" w:customStyle="1" w:styleId="256">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57">
    <w:name w:val="Char Char Char Char Char Char1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58">
    <w:name w:val="xl5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59">
    <w:name w:val="(符号)五标题1.1.1"/>
    <w:basedOn w:val="1"/>
    <w:autoRedefine/>
    <w:qFormat/>
    <w:uiPriority w:val="0"/>
    <w:pPr>
      <w:numPr>
        <w:ilvl w:val="2"/>
        <w:numId w:val="3"/>
      </w:numPr>
      <w:spacing w:line="500" w:lineRule="exact"/>
    </w:pPr>
    <w:rPr>
      <w:rFonts w:ascii="宋体" w:hAnsi="宋体" w:cs="宋体"/>
      <w:color w:val="000000"/>
      <w:sz w:val="24"/>
      <w:szCs w:val="20"/>
    </w:rPr>
  </w:style>
  <w:style w:type="paragraph" w:customStyle="1" w:styleId="260">
    <w:name w:val="Char2"/>
    <w:basedOn w:val="1"/>
    <w:autoRedefine/>
    <w:qFormat/>
    <w:uiPriority w:val="0"/>
    <w:pPr>
      <w:spacing w:line="240" w:lineRule="atLeast"/>
      <w:ind w:left="420" w:firstLine="420"/>
    </w:pPr>
    <w:rPr>
      <w:kern w:val="0"/>
      <w:szCs w:val="21"/>
    </w:rPr>
  </w:style>
  <w:style w:type="paragraph" w:customStyle="1" w:styleId="261">
    <w:name w:val="xl59"/>
    <w:basedOn w:val="1"/>
    <w:autoRedefine/>
    <w:qFormat/>
    <w:uiPriority w:val="0"/>
    <w:pPr>
      <w:widowControl/>
      <w:pBdr>
        <w:top w:val="single" w:color="auto" w:sz="4" w:space="0"/>
        <w:left w:val="single" w:color="auto" w:sz="4" w:space="0"/>
        <w:right w:val="single" w:color="auto" w:sz="8" w:space="0"/>
      </w:pBdr>
      <w:spacing w:before="100" w:beforeAutospacing="1" w:after="100" w:afterAutospacing="1" w:line="276" w:lineRule="auto"/>
      <w:jc w:val="left"/>
    </w:pPr>
    <w:rPr>
      <w:rFonts w:ascii="宋体" w:hAnsi="宋体"/>
      <w:kern w:val="0"/>
      <w:sz w:val="20"/>
      <w:szCs w:val="20"/>
      <w:lang w:eastAsia="en-US"/>
    </w:rPr>
  </w:style>
  <w:style w:type="paragraph" w:customStyle="1" w:styleId="262">
    <w:name w:val="xl3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4"/>
    </w:rPr>
  </w:style>
  <w:style w:type="paragraph" w:customStyle="1" w:styleId="263">
    <w:name w:val="xl2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kern w:val="0"/>
      <w:sz w:val="24"/>
    </w:rPr>
  </w:style>
  <w:style w:type="paragraph" w:customStyle="1" w:styleId="264">
    <w:name w:val="(符号)三标题1."/>
    <w:basedOn w:val="1"/>
    <w:autoRedefine/>
    <w:qFormat/>
    <w:uiPriority w:val="0"/>
    <w:pPr>
      <w:tabs>
        <w:tab w:val="left" w:pos="420"/>
      </w:tabs>
      <w:spacing w:before="140" w:after="140" w:line="500" w:lineRule="exact"/>
      <w:ind w:left="430" w:hanging="430"/>
      <w:outlineLvl w:val="2"/>
    </w:pPr>
    <w:rPr>
      <w:rFonts w:ascii="楷体_GB2312" w:hAnsi="宋体" w:eastAsia="楷体_GB2312" w:cs="宋体"/>
      <w:b/>
      <w:bCs/>
      <w:sz w:val="28"/>
      <w:szCs w:val="20"/>
    </w:rPr>
  </w:style>
  <w:style w:type="paragraph" w:customStyle="1" w:styleId="265">
    <w:name w:val="xl56"/>
    <w:basedOn w:val="1"/>
    <w:autoRedefine/>
    <w:qFormat/>
    <w:uiPriority w:val="0"/>
    <w:pPr>
      <w:widowControl/>
      <w:pBdr>
        <w:top w:val="single" w:color="auto" w:sz="4" w:space="0"/>
        <w:left w:val="single" w:color="auto" w:sz="4" w:space="0"/>
        <w:bottom w:val="single" w:color="auto" w:sz="4" w:space="0"/>
        <w:right w:val="single" w:color="auto" w:sz="8" w:space="0"/>
      </w:pBdr>
      <w:shd w:val="clear" w:color="auto" w:fill="00FF00"/>
      <w:spacing w:before="100" w:beforeAutospacing="1" w:after="100" w:afterAutospacing="1" w:line="276" w:lineRule="auto"/>
      <w:jc w:val="left"/>
    </w:pPr>
    <w:rPr>
      <w:rFonts w:ascii="宋体" w:hAnsi="宋体"/>
      <w:color w:val="000000"/>
      <w:kern w:val="0"/>
      <w:sz w:val="20"/>
      <w:szCs w:val="20"/>
      <w:lang w:eastAsia="en-US"/>
    </w:rPr>
  </w:style>
  <w:style w:type="paragraph" w:customStyle="1" w:styleId="266">
    <w:name w:val="（符号）内容三标题1.1"/>
    <w:basedOn w:val="1"/>
    <w:autoRedefine/>
    <w:qFormat/>
    <w:uiPriority w:val="0"/>
    <w:pPr>
      <w:spacing w:line="500" w:lineRule="exact"/>
    </w:pPr>
    <w:rPr>
      <w:rFonts w:ascii="黑体" w:hAnsi="宋体" w:eastAsia="黑体"/>
      <w:b/>
      <w:bCs/>
      <w:sz w:val="24"/>
    </w:rPr>
  </w:style>
  <w:style w:type="paragraph" w:customStyle="1" w:styleId="267">
    <w:name w:val="Char Char Char"/>
    <w:basedOn w:val="1"/>
    <w:autoRedefine/>
    <w:qFormat/>
    <w:uiPriority w:val="0"/>
    <w:rPr>
      <w:rFonts w:ascii="Tahoma" w:hAnsi="Tahoma"/>
      <w:sz w:val="24"/>
      <w:szCs w:val="20"/>
    </w:rPr>
  </w:style>
  <w:style w:type="paragraph" w:customStyle="1" w:styleId="268">
    <w:name w:val="项目符号3"/>
    <w:basedOn w:val="1"/>
    <w:autoRedefine/>
    <w:qFormat/>
    <w:uiPriority w:val="0"/>
    <w:pPr>
      <w:numPr>
        <w:ilvl w:val="0"/>
        <w:numId w:val="4"/>
      </w:numPr>
    </w:pPr>
    <w:rPr>
      <w:sz w:val="24"/>
    </w:rPr>
  </w:style>
  <w:style w:type="paragraph" w:customStyle="1" w:styleId="269">
    <w:name w:val="样式 宋体 小四 行距: 固定值 25 磅"/>
    <w:basedOn w:val="1"/>
    <w:autoRedefine/>
    <w:qFormat/>
    <w:uiPriority w:val="0"/>
    <w:pPr>
      <w:spacing w:line="500" w:lineRule="exact"/>
    </w:pPr>
    <w:rPr>
      <w:rFonts w:ascii="宋体" w:hAnsi="宋体" w:cs="宋体"/>
      <w:sz w:val="24"/>
      <w:szCs w:val="20"/>
    </w:rPr>
  </w:style>
  <w:style w:type="paragraph" w:customStyle="1" w:styleId="270">
    <w:name w:val="font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71">
    <w:name w:val="xl4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rPr>
  </w:style>
  <w:style w:type="paragraph" w:customStyle="1" w:styleId="272">
    <w:name w:val="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73">
    <w:name w:val="样式 标题 4 + 行距: 多倍行距 1.57 字行"/>
    <w:basedOn w:val="5"/>
    <w:autoRedefine/>
    <w:qFormat/>
    <w:uiPriority w:val="0"/>
    <w:pPr>
      <w:widowControl/>
      <w:adjustRightInd/>
      <w:snapToGrid/>
      <w:spacing w:line="377" w:lineRule="auto"/>
      <w:ind w:left="150" w:leftChars="50" w:firstLine="0"/>
      <w:jc w:val="left"/>
    </w:pPr>
    <w:rPr>
      <w:rFonts w:ascii="Arial" w:hAnsi="Arial" w:eastAsia="仿宋_GB2312" w:cs="Arial"/>
      <w:kern w:val="2"/>
      <w:sz w:val="30"/>
      <w:szCs w:val="30"/>
    </w:rPr>
  </w:style>
  <w:style w:type="paragraph" w:customStyle="1" w:styleId="274">
    <w:name w:val="样式 首行缩进:  0.85 厘米"/>
    <w:basedOn w:val="1"/>
    <w:autoRedefine/>
    <w:qFormat/>
    <w:uiPriority w:val="0"/>
    <w:pPr>
      <w:spacing w:line="360" w:lineRule="auto"/>
      <w:ind w:firstLine="200" w:firstLineChars="200"/>
    </w:pPr>
    <w:rPr>
      <w:sz w:val="24"/>
    </w:rPr>
  </w:style>
  <w:style w:type="paragraph" w:customStyle="1" w:styleId="275">
    <w:name w:val="xl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276">
    <w:name w:val="菱形标号"/>
    <w:basedOn w:val="1"/>
    <w:autoRedefine/>
    <w:qFormat/>
    <w:uiPriority w:val="0"/>
    <w:pPr>
      <w:tabs>
        <w:tab w:val="left" w:pos="1125"/>
      </w:tabs>
      <w:spacing w:line="360" w:lineRule="auto"/>
      <w:ind w:left="902" w:hanging="390"/>
    </w:pPr>
    <w:rPr>
      <w:sz w:val="24"/>
    </w:rPr>
  </w:style>
  <w:style w:type="paragraph" w:customStyle="1" w:styleId="277">
    <w:name w:val="（符号）内容二标题1"/>
    <w:basedOn w:val="1"/>
    <w:autoRedefine/>
    <w:qFormat/>
    <w:uiPriority w:val="0"/>
    <w:pPr>
      <w:tabs>
        <w:tab w:val="left" w:pos="420"/>
      </w:tabs>
      <w:spacing w:before="140" w:after="140" w:line="500" w:lineRule="exact"/>
      <w:ind w:left="430" w:hanging="430"/>
      <w:outlineLvl w:val="1"/>
    </w:pPr>
    <w:rPr>
      <w:rFonts w:ascii="楷体_GB2312" w:eastAsia="楷体_GB2312" w:cs="宋体"/>
      <w:b/>
      <w:bCs/>
      <w:sz w:val="28"/>
      <w:szCs w:val="20"/>
    </w:rPr>
  </w:style>
  <w:style w:type="paragraph" w:customStyle="1" w:styleId="278">
    <w:name w:val="(符号)标书正文"/>
    <w:basedOn w:val="1"/>
    <w:autoRedefine/>
    <w:qFormat/>
    <w:uiPriority w:val="0"/>
    <w:pPr>
      <w:spacing w:line="500" w:lineRule="exact"/>
      <w:ind w:left="420"/>
    </w:pPr>
    <w:rPr>
      <w:rFonts w:ascii="宋体" w:hAnsi="宋体" w:cs="宋体"/>
      <w:sz w:val="24"/>
      <w:szCs w:val="20"/>
    </w:rPr>
  </w:style>
  <w:style w:type="paragraph" w:customStyle="1" w:styleId="279">
    <w:name w:val="表"/>
    <w:basedOn w:val="1"/>
    <w:autoRedefine/>
    <w:qFormat/>
    <w:uiPriority w:val="0"/>
    <w:pPr>
      <w:adjustRightInd w:val="0"/>
      <w:snapToGrid w:val="0"/>
    </w:pPr>
    <w:rPr>
      <w:color w:val="000000"/>
      <w:kern w:val="0"/>
      <w:szCs w:val="21"/>
    </w:rPr>
  </w:style>
  <w:style w:type="paragraph" w:customStyle="1" w:styleId="280">
    <w:name w:val="Char Char Char Char1"/>
    <w:basedOn w:val="1"/>
    <w:autoRedefine/>
    <w:semiHidden/>
    <w:qFormat/>
    <w:uiPriority w:val="0"/>
    <w:pPr>
      <w:widowControl/>
      <w:adjustRightInd w:val="0"/>
      <w:snapToGrid w:val="0"/>
      <w:spacing w:after="160" w:line="240" w:lineRule="exact"/>
      <w:ind w:firstLine="200" w:firstLineChars="200"/>
      <w:jc w:val="left"/>
    </w:pPr>
    <w:rPr>
      <w:rFonts w:ascii="Verdana" w:hAnsi="Verdana"/>
      <w:kern w:val="0"/>
      <w:sz w:val="20"/>
      <w:szCs w:val="20"/>
      <w:lang w:eastAsia="en-US"/>
    </w:rPr>
  </w:style>
  <w:style w:type="paragraph" w:customStyle="1" w:styleId="281">
    <w:name w:val="xl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282">
    <w:name w:val="表格"/>
    <w:autoRedefine/>
    <w:qFormat/>
    <w:uiPriority w:val="0"/>
    <w:pPr>
      <w:jc w:val="center"/>
    </w:pPr>
    <w:rPr>
      <w:rFonts w:ascii="Times New Roman" w:hAnsi="Times New Roman" w:eastAsia="宋体" w:cs="Times New Roman"/>
      <w:sz w:val="30"/>
      <w:lang w:val="en-US" w:eastAsia="zh-CN" w:bidi="ar-SA"/>
    </w:rPr>
  </w:style>
  <w:style w:type="paragraph" w:customStyle="1" w:styleId="283">
    <w:name w:val="TOC 标题1"/>
    <w:basedOn w:val="2"/>
    <w:next w:val="1"/>
    <w:autoRedefine/>
    <w:semiHidden/>
    <w:qFormat/>
    <w:uiPriority w:val="0"/>
    <w:pPr>
      <w:keepNext w:val="0"/>
      <w:keepLines w:val="0"/>
      <w:widowControl/>
      <w:autoSpaceDE/>
      <w:autoSpaceDN/>
      <w:adjustRightInd/>
      <w:spacing w:before="480" w:after="0" w:line="276" w:lineRule="auto"/>
      <w:contextualSpacing/>
      <w:jc w:val="left"/>
      <w:outlineLvl w:val="9"/>
    </w:pPr>
    <w:rPr>
      <w:rFonts w:ascii="Cambria" w:hAnsi="Cambria"/>
      <w:bCs/>
      <w:sz w:val="28"/>
      <w:szCs w:val="28"/>
      <w:lang w:eastAsia="en-US"/>
    </w:rPr>
  </w:style>
  <w:style w:type="paragraph" w:customStyle="1" w:styleId="284">
    <w:name w:val="规范正文"/>
    <w:basedOn w:val="1"/>
    <w:autoRedefine/>
    <w:qFormat/>
    <w:uiPriority w:val="0"/>
    <w:pPr>
      <w:suppressAutoHyphens/>
      <w:spacing w:line="360" w:lineRule="auto"/>
      <w:ind w:left="480"/>
      <w:textAlignment w:val="baseline"/>
    </w:pPr>
    <w:rPr>
      <w:kern w:val="1"/>
      <w:sz w:val="24"/>
      <w:szCs w:val="20"/>
      <w:lang w:eastAsia="ar-SA"/>
    </w:rPr>
  </w:style>
  <w:style w:type="paragraph" w:customStyle="1" w:styleId="285">
    <w:name w:val="普通文字"/>
    <w:basedOn w:val="1"/>
    <w:autoRedefine/>
    <w:qFormat/>
    <w:uiPriority w:val="0"/>
    <w:pPr>
      <w:suppressAutoHyphens/>
    </w:pPr>
    <w:rPr>
      <w:rFonts w:ascii="宋体" w:hAnsi="宋体" w:cs="Courier New"/>
      <w:kern w:val="1"/>
      <w:szCs w:val="21"/>
      <w:lang w:eastAsia="ar-SA"/>
    </w:rPr>
  </w:style>
  <w:style w:type="paragraph" w:customStyle="1" w:styleId="286">
    <w:name w:val="（符号）投标一、"/>
    <w:basedOn w:val="1"/>
    <w:autoRedefine/>
    <w:qFormat/>
    <w:uiPriority w:val="0"/>
    <w:pPr>
      <w:tabs>
        <w:tab w:val="left" w:pos="980"/>
      </w:tabs>
      <w:spacing w:line="460" w:lineRule="exact"/>
      <w:ind w:left="980" w:hanging="498"/>
    </w:pPr>
  </w:style>
  <w:style w:type="paragraph" w:customStyle="1" w:styleId="287">
    <w:name w:val="xl3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rPr>
  </w:style>
  <w:style w:type="paragraph" w:customStyle="1" w:styleId="288">
    <w:name w:val="（符号）普通正文"/>
    <w:basedOn w:val="1"/>
    <w:autoRedefine/>
    <w:qFormat/>
    <w:uiPriority w:val="0"/>
    <w:pPr>
      <w:spacing w:line="460" w:lineRule="exact"/>
      <w:ind w:firstLine="480" w:firstLineChars="200"/>
    </w:pPr>
    <w:rPr>
      <w:rFonts w:ascii="宋体" w:hAnsi="宋体" w:cs="宋体"/>
      <w:sz w:val="24"/>
      <w:szCs w:val="20"/>
    </w:rPr>
  </w:style>
  <w:style w:type="paragraph" w:customStyle="1" w:styleId="289">
    <w:name w:val="列出段落1"/>
    <w:basedOn w:val="1"/>
    <w:autoRedefine/>
    <w:qFormat/>
    <w:uiPriority w:val="0"/>
    <w:pPr>
      <w:widowControl/>
      <w:spacing w:after="200" w:line="276" w:lineRule="auto"/>
      <w:ind w:left="720"/>
      <w:contextualSpacing/>
      <w:jc w:val="left"/>
    </w:pPr>
    <w:rPr>
      <w:kern w:val="0"/>
      <w:sz w:val="22"/>
      <w:szCs w:val="22"/>
      <w:lang w:eastAsia="en-US"/>
    </w:rPr>
  </w:style>
  <w:style w:type="paragraph" w:customStyle="1" w:styleId="290">
    <w:name w:val="样式7"/>
    <w:basedOn w:val="1"/>
    <w:autoRedefine/>
    <w:qFormat/>
    <w:uiPriority w:val="0"/>
    <w:pPr>
      <w:suppressAutoHyphens/>
      <w:autoSpaceDE w:val="0"/>
      <w:spacing w:line="440" w:lineRule="atLeast"/>
      <w:ind w:firstLine="601"/>
      <w:textAlignment w:val="baseline"/>
    </w:pPr>
    <w:rPr>
      <w:rFonts w:ascii="宋体" w:hAnsi="宋体"/>
      <w:kern w:val="1"/>
      <w:sz w:val="24"/>
      <w:szCs w:val="20"/>
      <w:lang w:eastAsia="ar-SA"/>
    </w:rPr>
  </w:style>
  <w:style w:type="paragraph" w:customStyle="1" w:styleId="291">
    <w:name w:val="目次、标准名称标题"/>
    <w:basedOn w:val="190"/>
    <w:next w:val="186"/>
    <w:autoRedefine/>
    <w:qFormat/>
    <w:uiPriority w:val="0"/>
    <w:pPr>
      <w:spacing w:line="460" w:lineRule="exact"/>
    </w:pPr>
  </w:style>
  <w:style w:type="paragraph" w:customStyle="1" w:styleId="292">
    <w:name w:val="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3">
    <w:name w:val="(符号)三标题1.1"/>
    <w:basedOn w:val="1"/>
    <w:autoRedefine/>
    <w:qFormat/>
    <w:uiPriority w:val="0"/>
    <w:pPr>
      <w:numPr>
        <w:ilvl w:val="0"/>
        <w:numId w:val="3"/>
      </w:numPr>
      <w:spacing w:before="140" w:after="140" w:line="500" w:lineRule="exact"/>
      <w:outlineLvl w:val="2"/>
    </w:pPr>
    <w:rPr>
      <w:rFonts w:ascii="楷体_GB2312" w:hAnsi="宋体" w:eastAsia="楷体_GB2312" w:cs="宋体"/>
      <w:b/>
      <w:bCs/>
      <w:sz w:val="28"/>
      <w:szCs w:val="20"/>
    </w:rPr>
  </w:style>
  <w:style w:type="paragraph" w:customStyle="1" w:styleId="294">
    <w:name w:val="项目符合2"/>
    <w:basedOn w:val="1"/>
    <w:autoRedefine/>
    <w:qFormat/>
    <w:uiPriority w:val="0"/>
    <w:pPr>
      <w:widowControl/>
      <w:tabs>
        <w:tab w:val="left" w:pos="1049"/>
      </w:tabs>
      <w:spacing w:after="200" w:line="276" w:lineRule="auto"/>
      <w:ind w:left="1049" w:hanging="420"/>
      <w:jc w:val="left"/>
    </w:pPr>
    <w:rPr>
      <w:kern w:val="0"/>
      <w:sz w:val="24"/>
      <w:szCs w:val="22"/>
      <w:lang w:eastAsia="en-US"/>
    </w:rPr>
  </w:style>
  <w:style w:type="paragraph" w:customStyle="1" w:styleId="295">
    <w:name w:val="Char1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96">
    <w:name w:val="(符号)内容1五标题1.1.1"/>
    <w:basedOn w:val="1"/>
    <w:autoRedefine/>
    <w:qFormat/>
    <w:uiPriority w:val="0"/>
  </w:style>
  <w:style w:type="paragraph" w:customStyle="1" w:styleId="297">
    <w:name w:val="xl33"/>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298">
    <w:name w:val="xl2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rPr>
  </w:style>
  <w:style w:type="paragraph" w:customStyle="1" w:styleId="299">
    <w:name w:val="五级条标题"/>
    <w:basedOn w:val="237"/>
    <w:next w:val="186"/>
    <w:autoRedefine/>
    <w:qFormat/>
    <w:uiPriority w:val="0"/>
    <w:pPr>
      <w:tabs>
        <w:tab w:val="left" w:pos="3420"/>
      </w:tabs>
      <w:ind w:left="3420"/>
      <w:outlineLvl w:val="6"/>
    </w:pPr>
  </w:style>
  <w:style w:type="paragraph" w:customStyle="1" w:styleId="300">
    <w:name w:val="xl3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301">
    <w:name w:val="部分1"/>
    <w:basedOn w:val="1"/>
    <w:autoRedefine/>
    <w:qFormat/>
    <w:uiPriority w:val="0"/>
    <w:pPr>
      <w:keepNext/>
      <w:pageBreakBefore/>
      <w:tabs>
        <w:tab w:val="left" w:pos="1272"/>
      </w:tabs>
      <w:spacing w:line="360" w:lineRule="auto"/>
      <w:ind w:left="1272" w:hanging="1272"/>
      <w:jc w:val="center"/>
      <w:outlineLvl w:val="0"/>
    </w:pPr>
    <w:rPr>
      <w:rFonts w:eastAsia="黑体"/>
      <w:b/>
      <w:bCs/>
      <w:kern w:val="44"/>
      <w:sz w:val="36"/>
      <w:szCs w:val="36"/>
    </w:rPr>
  </w:style>
  <w:style w:type="paragraph" w:customStyle="1" w:styleId="302">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03">
    <w:name w:val="xl3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304">
    <w:name w:val="xl3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rPr>
  </w:style>
  <w:style w:type="paragraph" w:customStyle="1" w:styleId="305">
    <w:name w:val="xl5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6">
    <w:name w:val="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07">
    <w:name w:val="Char Char Char Char Char Char1 Char Char Char Char Char Char Char Char Char Char2"/>
    <w:basedOn w:val="1"/>
    <w:autoRedefine/>
    <w:qFormat/>
    <w:uiPriority w:val="0"/>
    <w:pPr>
      <w:widowControl/>
      <w:spacing w:after="160" w:line="240" w:lineRule="exact"/>
      <w:jc w:val="left"/>
    </w:pPr>
    <w:rPr>
      <w:rFonts w:ascii="Verdana" w:hAnsi="Verdana"/>
      <w:kern w:val="0"/>
      <w:sz w:val="20"/>
      <w:szCs w:val="20"/>
      <w:lang w:eastAsia="en-US"/>
    </w:rPr>
  </w:style>
  <w:style w:type="paragraph" w:styleId="308">
    <w:name w:val="List Paragraph"/>
    <w:basedOn w:val="1"/>
    <w:autoRedefine/>
    <w:qFormat/>
    <w:uiPriority w:val="34"/>
    <w:pPr>
      <w:ind w:firstLine="420" w:firstLineChars="200"/>
    </w:pPr>
  </w:style>
  <w:style w:type="paragraph" w:customStyle="1" w:styleId="309">
    <w:name w:val="xl2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color w:val="000000"/>
      <w:kern w:val="0"/>
      <w:sz w:val="24"/>
    </w:rPr>
  </w:style>
  <w:style w:type="paragraph" w:customStyle="1" w:styleId="310">
    <w:name w:val="表格标题"/>
    <w:basedOn w:val="243"/>
    <w:autoRedefine/>
    <w:qFormat/>
    <w:uiPriority w:val="0"/>
    <w:pPr>
      <w:jc w:val="center"/>
    </w:pPr>
    <w:rPr>
      <w:b/>
      <w:bCs/>
      <w:i/>
      <w:iCs/>
    </w:rPr>
  </w:style>
  <w:style w:type="paragraph" w:customStyle="1" w:styleId="311">
    <w:name w:val="Table Paragraph"/>
    <w:basedOn w:val="1"/>
    <w:autoRedefine/>
    <w:qFormat/>
    <w:uiPriority w:val="1"/>
    <w:rPr>
      <w:rFonts w:ascii="宋体" w:hAnsi="宋体" w:cs="宋体"/>
      <w:szCs w:val="20"/>
    </w:rPr>
  </w:style>
  <w:style w:type="paragraph" w:customStyle="1" w:styleId="312">
    <w:name w:val="正文缩进1"/>
    <w:basedOn w:val="1"/>
    <w:autoRedefine/>
    <w:qFormat/>
    <w:uiPriority w:val="0"/>
    <w:pPr>
      <w:spacing w:line="300" w:lineRule="auto"/>
      <w:ind w:firstLine="420"/>
    </w:pPr>
    <w:rPr>
      <w:snapToGrid w:val="0"/>
      <w:sz w:val="24"/>
      <w:lang w:eastAsia="en-US"/>
    </w:rPr>
  </w:style>
  <w:style w:type="paragraph" w:customStyle="1" w:styleId="313">
    <w:name w:val="样式"/>
    <w:autoRedefine/>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customStyle="1" w:styleId="314">
    <w:name w:val="正文缩进2"/>
    <w:basedOn w:val="1"/>
    <w:autoRedefine/>
    <w:qFormat/>
    <w:uiPriority w:val="0"/>
    <w:pPr>
      <w:wordWrap w:val="0"/>
      <w:ind w:firstLine="480"/>
    </w:pPr>
    <w:rPr>
      <w:iCs/>
      <w:shd w:val="clear" w:color="auto" w:fill="FFFFFF" w:themeFill="background1"/>
      <w:lang w:val="zh-CN"/>
    </w:rPr>
  </w:style>
  <w:style w:type="paragraph" w:styleId="315">
    <w:name w:val="No Spacing"/>
    <w:autoRedefine/>
    <w:qFormat/>
    <w:uiPriority w:val="1"/>
    <w:pPr>
      <w:widowControl w:val="0"/>
    </w:pPr>
    <w:rPr>
      <w:rFonts w:ascii="宋体" w:hAnsi="宋体" w:eastAsia="宋体" w:cstheme="minorBidi"/>
      <w:kern w:val="2"/>
      <w:sz w:val="24"/>
      <w:szCs w:val="22"/>
      <w:lang w:val="en-US" w:eastAsia="zh-CN" w:bidi="ar-SA"/>
    </w:rPr>
  </w:style>
  <w:style w:type="paragraph" w:customStyle="1" w:styleId="316">
    <w:name w:val="Char1 Char Char Char"/>
    <w:basedOn w:val="1"/>
    <w:autoRedefine/>
    <w:qFormat/>
    <w:uiPriority w:val="0"/>
    <w:pPr>
      <w:adjustRightInd w:val="0"/>
      <w:jc w:val="both"/>
    </w:pPr>
    <w:rPr>
      <w:rFonts w:ascii="Times New Roman" w:hAnsi="Times New Roman" w:cs="Times New Roman"/>
      <w:kern w:val="0"/>
      <w:szCs w:val="20"/>
    </w:rPr>
  </w:style>
  <w:style w:type="paragraph" w:customStyle="1" w:styleId="317">
    <w:name w:val="[基本段落]"/>
    <w:basedOn w:val="1"/>
    <w:qFormat/>
    <w:uiPriority w:val="99"/>
    <w:pPr>
      <w:autoSpaceDE w:val="0"/>
      <w:autoSpaceDN w:val="0"/>
      <w:adjustRightInd w:val="0"/>
      <w:spacing w:line="288" w:lineRule="auto"/>
      <w:textAlignment w:val="center"/>
    </w:pPr>
    <w:rPr>
      <w:rFonts w:ascii="Adobe 宋体 Std L" w:hAnsi="Calibri" w:eastAsia="Adobe 宋体 Std L" w:cs="Adobe 宋体 Std L"/>
      <w:color w:val="000000"/>
      <w:kern w:val="0"/>
      <w:sz w:val="24"/>
      <w:lang w:val="zh-CN"/>
    </w:rPr>
  </w:style>
  <w:style w:type="paragraph" w:customStyle="1" w:styleId="318">
    <w:name w:val="无间隔2"/>
    <w:autoRedefine/>
    <w:qFormat/>
    <w:uiPriority w:val="1"/>
    <w:pPr>
      <w:widowControl w:val="0"/>
    </w:pPr>
    <w:rPr>
      <w:rFonts w:ascii="宋体" w:hAnsi="宋体" w:eastAsia="宋体"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http://sdwm.org</Company>
  <Pages>74</Pages>
  <Words>31063</Words>
  <Characters>32474</Characters>
  <Lines>324</Lines>
  <Paragraphs>91</Paragraphs>
  <TotalTime>36</TotalTime>
  <ScaleCrop>false</ScaleCrop>
  <LinksUpToDate>false</LinksUpToDate>
  <CharactersWithSpaces>35284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2024-04-18T06:02:00Z</dcterms:created>
  <dc:creator>hjk</dc:creator>
  <cp:lastModifiedBy>湖北中联太</cp:lastModifiedBy>
  <cp:lastPrinted>2025-01-02T07:45:00Z</cp:lastPrinted>
  <dcterms:modified xsi:type="dcterms:W3CDTF">2025-04-10T02:20:42Z</dcterms:modified>
  <dc:title>招 标 文 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24BFF653DE7642AABD6B5B1710F69CE4_13</vt:lpwstr>
  </property>
  <property fmtid="{D5CDD505-2E9C-101B-9397-08002B2CF9AE}" pid="4" name="KSOTemplateDocerSaveRecord">
    <vt:lpwstr>eyJoZGlkIjoiZjE3ZTQzOThlNDIzNTc4YThkYmEyNmE1NWNjNzU1MDUiLCJ1c2VySWQiOiI5MjM2MjIyNjUifQ==</vt:lpwstr>
  </property>
</Properties>
</file>