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6BFAC">
      <w:pPr>
        <w:pStyle w:val="2"/>
        <w:numPr>
          <w:numId w:val="0"/>
        </w:numPr>
        <w:ind w:leftChars="0"/>
        <w:jc w:val="center"/>
        <w:rPr>
          <w:rFonts w:hint="eastAsia" w:ascii="仿宋" w:hAnsi="仿宋" w:eastAsia="仿宋" w:cs="仿宋"/>
          <w:highlight w:val="none"/>
        </w:rPr>
      </w:pPr>
      <w:bookmarkStart w:id="0" w:name="_Toc10344"/>
      <w:bookmarkStart w:id="1" w:name="OLE_LINK1"/>
      <w:r>
        <w:rPr>
          <w:rFonts w:hint="eastAsia" w:ascii="仿宋" w:hAnsi="仿宋" w:eastAsia="仿宋" w:cs="仿宋"/>
          <w:highlight w:val="none"/>
        </w:rPr>
        <w:t>项目采购需求</w:t>
      </w:r>
      <w:bookmarkEnd w:id="0"/>
      <w:bookmarkEnd w:id="1"/>
    </w:p>
    <w:p w14:paraId="7F022E08">
      <w:pPr>
        <w:rPr>
          <w:rFonts w:hint="eastAsia" w:ascii="仿宋" w:hAnsi="仿宋" w:eastAsia="仿宋" w:cs="仿宋"/>
          <w:highlight w:val="none"/>
        </w:rPr>
      </w:pPr>
      <w:r>
        <w:rPr>
          <w:rFonts w:hint="eastAsia" w:ascii="仿宋" w:hAnsi="仿宋" w:eastAsia="仿宋" w:cs="仿宋"/>
          <w:b/>
          <w:bCs/>
          <w:highlight w:val="none"/>
        </w:rPr>
        <w:t>说明</w:t>
      </w:r>
      <w:r>
        <w:rPr>
          <w:rFonts w:hint="eastAsia" w:ascii="仿宋" w:hAnsi="仿宋" w:eastAsia="仿宋" w:cs="仿宋"/>
          <w:highlight w:val="none"/>
        </w:rPr>
        <w:t>：“★”号标注的内容为实质性要求，必须满足或优于该要求，否则按照</w:t>
      </w:r>
      <w:r>
        <w:rPr>
          <w:rFonts w:hint="eastAsia" w:ascii="仿宋" w:hAnsi="仿宋" w:eastAsia="仿宋" w:cs="仿宋"/>
          <w:b/>
          <w:bCs/>
          <w:highlight w:val="none"/>
        </w:rPr>
        <w:t>无效响应处理</w:t>
      </w:r>
      <w:r>
        <w:rPr>
          <w:rFonts w:hint="eastAsia" w:ascii="仿宋" w:hAnsi="仿宋" w:eastAsia="仿宋" w:cs="仿宋"/>
          <w:highlight w:val="none"/>
        </w:rPr>
        <w:t>。</w:t>
      </w:r>
    </w:p>
    <w:p w14:paraId="7E9382D4">
      <w:pPr>
        <w:pStyle w:val="3"/>
        <w:numPr>
          <w:ilvl w:val="0"/>
          <w:numId w:val="1"/>
        </w:numPr>
        <w:rPr>
          <w:rFonts w:hint="eastAsia" w:ascii="仿宋" w:hAnsi="仿宋" w:eastAsia="仿宋" w:cs="仿宋"/>
          <w:b/>
          <w:bCs/>
          <w:highlight w:val="none"/>
        </w:rPr>
      </w:pPr>
      <w:bookmarkStart w:id="2" w:name="_Toc16019"/>
      <w:bookmarkStart w:id="3" w:name="_Toc8296"/>
      <w:bookmarkStart w:id="4" w:name="_Toc156490321"/>
      <w:r>
        <w:rPr>
          <w:rFonts w:hint="eastAsia" w:ascii="仿宋" w:hAnsi="仿宋" w:eastAsia="仿宋" w:cs="仿宋"/>
          <w:b/>
          <w:bCs/>
          <w:highlight w:val="none"/>
        </w:rPr>
        <w:t>采购清单</w:t>
      </w:r>
      <w:bookmarkEnd w:id="2"/>
      <w:bookmarkEnd w:id="3"/>
      <w:bookmarkEnd w:id="4"/>
      <w:bookmarkStart w:id="19" w:name="_GoBack"/>
      <w:bookmarkEnd w:id="19"/>
    </w:p>
    <w:tbl>
      <w:tblPr>
        <w:tblStyle w:val="4"/>
        <w:tblW w:w="7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3411"/>
        <w:gridCol w:w="984"/>
        <w:gridCol w:w="927"/>
        <w:gridCol w:w="1620"/>
      </w:tblGrid>
      <w:tr w14:paraId="3B26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58" w:type="dxa"/>
            <w:vAlign w:val="center"/>
          </w:tcPr>
          <w:p w14:paraId="366B220B">
            <w:pPr>
              <w:jc w:val="center"/>
              <w:rPr>
                <w:rFonts w:hint="eastAsia" w:ascii="仿宋" w:hAnsi="仿宋" w:eastAsia="仿宋" w:cs="仿宋"/>
                <w:szCs w:val="24"/>
                <w:highlight w:val="none"/>
              </w:rPr>
            </w:pPr>
            <w:bookmarkStart w:id="5" w:name="_Toc338065594"/>
            <w:bookmarkStart w:id="6" w:name="_Toc339378680"/>
            <w:r>
              <w:rPr>
                <w:rFonts w:hint="eastAsia" w:ascii="仿宋" w:hAnsi="仿宋" w:eastAsia="仿宋" w:cs="仿宋"/>
                <w:szCs w:val="24"/>
                <w:highlight w:val="none"/>
              </w:rPr>
              <w:t>序号</w:t>
            </w:r>
          </w:p>
        </w:tc>
        <w:tc>
          <w:tcPr>
            <w:tcW w:w="3411" w:type="dxa"/>
            <w:vAlign w:val="center"/>
          </w:tcPr>
          <w:p w14:paraId="232CDB04">
            <w:pPr>
              <w:jc w:val="center"/>
              <w:rPr>
                <w:rFonts w:hint="eastAsia" w:ascii="仿宋" w:hAnsi="仿宋" w:eastAsia="仿宋" w:cs="仿宋"/>
                <w:szCs w:val="24"/>
                <w:highlight w:val="none"/>
              </w:rPr>
            </w:pPr>
            <w:r>
              <w:rPr>
                <w:rFonts w:hint="eastAsia" w:ascii="仿宋" w:hAnsi="仿宋" w:eastAsia="仿宋" w:cs="仿宋"/>
                <w:szCs w:val="24"/>
                <w:highlight w:val="none"/>
              </w:rPr>
              <w:t>采购标的名称</w:t>
            </w:r>
          </w:p>
        </w:tc>
        <w:tc>
          <w:tcPr>
            <w:tcW w:w="984" w:type="dxa"/>
            <w:vAlign w:val="center"/>
          </w:tcPr>
          <w:p w14:paraId="00177CB1">
            <w:pPr>
              <w:jc w:val="center"/>
              <w:rPr>
                <w:rFonts w:hint="eastAsia" w:ascii="仿宋" w:hAnsi="仿宋" w:eastAsia="仿宋" w:cs="仿宋"/>
                <w:szCs w:val="24"/>
                <w:highlight w:val="none"/>
              </w:rPr>
            </w:pPr>
            <w:r>
              <w:rPr>
                <w:rFonts w:hint="eastAsia" w:ascii="仿宋" w:hAnsi="仿宋" w:eastAsia="仿宋" w:cs="仿宋"/>
                <w:szCs w:val="24"/>
                <w:highlight w:val="none"/>
              </w:rPr>
              <w:t>数量</w:t>
            </w:r>
          </w:p>
        </w:tc>
        <w:tc>
          <w:tcPr>
            <w:tcW w:w="927" w:type="dxa"/>
            <w:vAlign w:val="center"/>
          </w:tcPr>
          <w:p w14:paraId="49C6C9C4">
            <w:pPr>
              <w:jc w:val="center"/>
              <w:rPr>
                <w:rFonts w:hint="eastAsia" w:ascii="仿宋" w:hAnsi="仿宋" w:eastAsia="仿宋" w:cs="仿宋"/>
                <w:szCs w:val="24"/>
                <w:highlight w:val="none"/>
              </w:rPr>
            </w:pPr>
            <w:r>
              <w:rPr>
                <w:rFonts w:hint="eastAsia" w:ascii="仿宋" w:hAnsi="仿宋" w:eastAsia="仿宋" w:cs="仿宋"/>
                <w:szCs w:val="24"/>
                <w:highlight w:val="none"/>
              </w:rPr>
              <w:t>单位</w:t>
            </w:r>
          </w:p>
        </w:tc>
        <w:tc>
          <w:tcPr>
            <w:tcW w:w="1620" w:type="dxa"/>
            <w:vAlign w:val="center"/>
          </w:tcPr>
          <w:p w14:paraId="65D9768F">
            <w:pPr>
              <w:jc w:val="center"/>
              <w:rPr>
                <w:rFonts w:hint="eastAsia" w:ascii="仿宋" w:hAnsi="仿宋" w:eastAsia="仿宋" w:cs="仿宋"/>
                <w:szCs w:val="24"/>
                <w:highlight w:val="none"/>
              </w:rPr>
            </w:pPr>
            <w:r>
              <w:rPr>
                <w:rFonts w:hint="eastAsia" w:ascii="仿宋" w:hAnsi="仿宋" w:eastAsia="仿宋" w:cs="仿宋"/>
                <w:szCs w:val="24"/>
                <w:highlight w:val="none"/>
              </w:rPr>
              <w:t>最高限价</w:t>
            </w:r>
          </w:p>
        </w:tc>
      </w:tr>
      <w:tr w14:paraId="1CAF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758" w:type="dxa"/>
            <w:vAlign w:val="center"/>
          </w:tcPr>
          <w:p w14:paraId="6FDDEFB2">
            <w:pPr>
              <w:jc w:val="center"/>
              <w:rPr>
                <w:rFonts w:hint="eastAsia" w:ascii="仿宋" w:hAnsi="仿宋" w:eastAsia="仿宋" w:cs="仿宋"/>
                <w:szCs w:val="24"/>
                <w:highlight w:val="none"/>
              </w:rPr>
            </w:pPr>
            <w:r>
              <w:rPr>
                <w:rFonts w:hint="eastAsia" w:ascii="仿宋" w:hAnsi="仿宋" w:eastAsia="仿宋" w:cs="仿宋"/>
                <w:szCs w:val="24"/>
                <w:highlight w:val="none"/>
              </w:rPr>
              <w:t>1</w:t>
            </w:r>
          </w:p>
        </w:tc>
        <w:tc>
          <w:tcPr>
            <w:tcW w:w="3411" w:type="dxa"/>
            <w:vAlign w:val="center"/>
          </w:tcPr>
          <w:p w14:paraId="507F699C">
            <w:pPr>
              <w:jc w:val="center"/>
              <w:rPr>
                <w:rFonts w:hint="eastAsia" w:ascii="仿宋" w:hAnsi="仿宋" w:eastAsia="仿宋" w:cs="仿宋"/>
                <w:szCs w:val="24"/>
                <w:highlight w:val="none"/>
              </w:rPr>
            </w:pPr>
            <w:r>
              <w:rPr>
                <w:rFonts w:hint="eastAsia" w:ascii="仿宋" w:hAnsi="仿宋" w:eastAsia="仿宋" w:cs="仿宋"/>
                <w:szCs w:val="24"/>
                <w:highlight w:val="none"/>
              </w:rPr>
              <w:t>武汉市第三医院未来科技城院区房屋测绘项目</w:t>
            </w:r>
          </w:p>
        </w:tc>
        <w:tc>
          <w:tcPr>
            <w:tcW w:w="984" w:type="dxa"/>
            <w:vAlign w:val="center"/>
          </w:tcPr>
          <w:p w14:paraId="7D6F2FB2">
            <w:pPr>
              <w:jc w:val="center"/>
              <w:rPr>
                <w:rFonts w:hint="eastAsia" w:ascii="仿宋" w:hAnsi="仿宋" w:eastAsia="仿宋" w:cs="仿宋"/>
                <w:szCs w:val="24"/>
                <w:highlight w:val="none"/>
              </w:rPr>
            </w:pPr>
            <w:r>
              <w:rPr>
                <w:rFonts w:hint="eastAsia" w:ascii="仿宋" w:hAnsi="仿宋" w:eastAsia="仿宋" w:cs="仿宋"/>
                <w:szCs w:val="24"/>
                <w:highlight w:val="none"/>
              </w:rPr>
              <w:t>1</w:t>
            </w:r>
          </w:p>
        </w:tc>
        <w:tc>
          <w:tcPr>
            <w:tcW w:w="927" w:type="dxa"/>
            <w:vAlign w:val="center"/>
          </w:tcPr>
          <w:p w14:paraId="2F2E00A6">
            <w:pPr>
              <w:jc w:val="center"/>
              <w:rPr>
                <w:rFonts w:hint="eastAsia" w:ascii="仿宋" w:hAnsi="仿宋" w:eastAsia="仿宋" w:cs="仿宋"/>
                <w:szCs w:val="24"/>
                <w:highlight w:val="none"/>
              </w:rPr>
            </w:pPr>
            <w:r>
              <w:rPr>
                <w:rFonts w:hint="eastAsia" w:ascii="仿宋" w:hAnsi="仿宋" w:eastAsia="仿宋" w:cs="仿宋"/>
                <w:szCs w:val="24"/>
                <w:highlight w:val="none"/>
              </w:rPr>
              <w:t>项</w:t>
            </w:r>
          </w:p>
        </w:tc>
        <w:tc>
          <w:tcPr>
            <w:tcW w:w="1620" w:type="dxa"/>
            <w:vAlign w:val="center"/>
          </w:tcPr>
          <w:p w14:paraId="3C399398">
            <w:pPr>
              <w:jc w:val="center"/>
              <w:rPr>
                <w:rFonts w:hint="eastAsia" w:ascii="仿宋" w:hAnsi="仿宋" w:eastAsia="仿宋" w:cs="仿宋"/>
                <w:szCs w:val="24"/>
                <w:highlight w:val="none"/>
              </w:rPr>
            </w:pPr>
            <w:r>
              <w:rPr>
                <w:rFonts w:hint="eastAsia" w:ascii="仿宋" w:hAnsi="仿宋" w:eastAsia="仿宋" w:cs="仿宋"/>
                <w:szCs w:val="24"/>
                <w:highlight w:val="none"/>
              </w:rPr>
              <w:t>33万元</w:t>
            </w:r>
          </w:p>
        </w:tc>
      </w:tr>
      <w:bookmarkEnd w:id="5"/>
      <w:bookmarkEnd w:id="6"/>
    </w:tbl>
    <w:p w14:paraId="60D5004A">
      <w:pPr>
        <w:pStyle w:val="3"/>
        <w:numPr>
          <w:ilvl w:val="0"/>
          <w:numId w:val="1"/>
        </w:numPr>
        <w:spacing w:before="140" w:after="140"/>
        <w:rPr>
          <w:rFonts w:hint="eastAsia" w:ascii="仿宋" w:hAnsi="仿宋" w:eastAsia="仿宋" w:cs="仿宋"/>
          <w:b/>
          <w:bCs/>
          <w:highlight w:val="none"/>
        </w:rPr>
      </w:pPr>
      <w:bookmarkStart w:id="7" w:name="_Toc16783"/>
      <w:r>
        <w:rPr>
          <w:rFonts w:hint="eastAsia" w:ascii="仿宋" w:hAnsi="仿宋" w:eastAsia="仿宋" w:cs="仿宋"/>
          <w:b/>
          <w:bCs/>
          <w:highlight w:val="none"/>
        </w:rPr>
        <w:t>项目概况</w:t>
      </w:r>
      <w:bookmarkEnd w:id="7"/>
    </w:p>
    <w:p w14:paraId="023C806D">
      <w:pPr>
        <w:ind w:firstLine="420"/>
        <w:rPr>
          <w:rFonts w:hint="eastAsia" w:ascii="仿宋" w:hAnsi="仿宋" w:eastAsia="仿宋" w:cs="仿宋"/>
          <w:color w:val="000000"/>
          <w:kern w:val="0"/>
          <w:szCs w:val="24"/>
          <w:highlight w:val="none"/>
        </w:rPr>
      </w:pPr>
      <w:r>
        <w:rPr>
          <w:rFonts w:hint="eastAsia" w:ascii="仿宋" w:hAnsi="仿宋" w:eastAsia="仿宋" w:cs="仿宋"/>
          <w:szCs w:val="24"/>
          <w:highlight w:val="none"/>
        </w:rPr>
        <w:t>本项目为武汉市第三医院未来科技城院区房屋测绘项目。测绘项目坐落于武汉市东湖新技术开发区未来三路66号，总建筑面积129649.26平方米（其中：非住宅建筑面积129649.26平方米）。</w:t>
      </w:r>
    </w:p>
    <w:p w14:paraId="48BE4A1C">
      <w:pPr>
        <w:pStyle w:val="3"/>
        <w:numPr>
          <w:ilvl w:val="0"/>
          <w:numId w:val="1"/>
        </w:numPr>
        <w:spacing w:before="140" w:after="140"/>
        <w:rPr>
          <w:rFonts w:hint="eastAsia"/>
          <w:highlight w:val="none"/>
        </w:rPr>
      </w:pPr>
      <w:bookmarkStart w:id="8" w:name="_Toc156490324"/>
      <w:bookmarkStart w:id="9" w:name="_Toc21055"/>
      <w:bookmarkStart w:id="10" w:name="_Toc27224"/>
      <w:r>
        <w:rPr>
          <w:rFonts w:hint="eastAsia" w:ascii="仿宋" w:hAnsi="仿宋" w:eastAsia="仿宋" w:cs="仿宋"/>
          <w:b/>
          <w:bCs/>
          <w:highlight w:val="none"/>
        </w:rPr>
        <w:t>技术、服务要求</w:t>
      </w:r>
      <w:bookmarkEnd w:id="8"/>
      <w:bookmarkEnd w:id="9"/>
      <w:bookmarkEnd w:id="10"/>
    </w:p>
    <w:p w14:paraId="522F6B97">
      <w:pPr>
        <w:rPr>
          <w:rFonts w:hint="eastAsia" w:ascii="仿宋" w:hAnsi="仿宋" w:eastAsia="仿宋" w:cs="仿宋"/>
          <w:b/>
          <w:bCs/>
          <w:szCs w:val="21"/>
          <w:highlight w:val="none"/>
        </w:rPr>
      </w:pPr>
      <w:bookmarkStart w:id="11" w:name="_Toc2758"/>
      <w:bookmarkStart w:id="12" w:name="_Toc28589"/>
      <w:bookmarkStart w:id="13" w:name="_Toc18480"/>
      <w:bookmarkStart w:id="14" w:name="_Toc2381"/>
      <w:r>
        <w:rPr>
          <w:rFonts w:hint="eastAsia" w:ascii="仿宋" w:hAnsi="仿宋" w:eastAsia="仿宋" w:cs="仿宋"/>
          <w:b/>
          <w:bCs/>
          <w:szCs w:val="21"/>
          <w:highlight w:val="none"/>
        </w:rPr>
        <w:t>1、主要服务内容</w:t>
      </w:r>
    </w:p>
    <w:p w14:paraId="7EECA290">
      <w:pPr>
        <w:ind w:firstLine="482"/>
        <w:rPr>
          <w:rFonts w:hint="eastAsia" w:ascii="仿宋" w:hAnsi="仿宋" w:eastAsia="仿宋" w:cs="仿宋"/>
          <w:szCs w:val="24"/>
          <w:highlight w:val="none"/>
        </w:rPr>
      </w:pPr>
      <w:r>
        <w:rPr>
          <w:rFonts w:hint="eastAsia" w:ascii="仿宋" w:hAnsi="仿宋" w:eastAsia="仿宋" w:cs="仿宋"/>
          <w:szCs w:val="24"/>
          <w:highlight w:val="none"/>
        </w:rPr>
        <w:t>本项目为武汉市第三医院未来科技城院区房屋测绘项目，主要服务内容：</w:t>
      </w:r>
    </w:p>
    <w:p w14:paraId="5FD3EEE9">
      <w:pPr>
        <w:rPr>
          <w:rFonts w:hint="eastAsia"/>
          <w:highlight w:val="none"/>
        </w:rPr>
      </w:pPr>
      <w:r>
        <w:rPr>
          <w:rFonts w:hint="eastAsia" w:ascii="仿宋" w:hAnsi="仿宋" w:eastAsia="仿宋" w:cs="仿宋"/>
          <w:szCs w:val="24"/>
          <w:highlight w:val="none"/>
        </w:rPr>
        <w:t>包含房产实测测绘、分丘测绘、成果编制、房产图纸图审、配合主管部门现场勘验、协助采购人</w:t>
      </w:r>
      <w:r>
        <w:rPr>
          <w:rFonts w:hint="eastAsia" w:ascii="仿宋" w:hAnsi="仿宋" w:eastAsia="仿宋" w:cs="仿宋"/>
          <w:szCs w:val="21"/>
          <w:highlight w:val="none"/>
        </w:rPr>
        <w:t>取得</w:t>
      </w:r>
      <w:r>
        <w:rPr>
          <w:rFonts w:ascii="仿宋" w:hAnsi="仿宋" w:eastAsia="仿宋" w:cs="仿宋"/>
          <w:szCs w:val="21"/>
          <w:highlight w:val="none"/>
        </w:rPr>
        <w:t>武汉市房屋楼盘表确认告知书</w:t>
      </w:r>
      <w:r>
        <w:rPr>
          <w:rFonts w:hint="eastAsia" w:ascii="仿宋" w:hAnsi="仿宋" w:eastAsia="仿宋" w:cs="仿宋"/>
          <w:szCs w:val="24"/>
          <w:highlight w:val="none"/>
        </w:rPr>
        <w:t>、配合采购人在建项环节上传相应的测绘资料，全套成果归档移交、质保期技术服务等全部内容。</w:t>
      </w:r>
    </w:p>
    <w:p w14:paraId="29782619">
      <w:pPr>
        <w:rPr>
          <w:rFonts w:hint="eastAsia" w:ascii="仿宋" w:hAnsi="仿宋" w:eastAsia="仿宋" w:cs="仿宋"/>
          <w:b/>
          <w:bCs/>
          <w:szCs w:val="21"/>
          <w:highlight w:val="none"/>
        </w:rPr>
      </w:pPr>
      <w:r>
        <w:rPr>
          <w:rFonts w:hint="eastAsia" w:ascii="仿宋" w:hAnsi="仿宋" w:eastAsia="仿宋" w:cs="仿宋"/>
          <w:b/>
          <w:bCs/>
          <w:szCs w:val="21"/>
          <w:highlight w:val="none"/>
        </w:rPr>
        <w:t>2、总体要求</w:t>
      </w:r>
    </w:p>
    <w:p w14:paraId="58AB13A4">
      <w:pPr>
        <w:ind w:firstLine="482"/>
        <w:rPr>
          <w:rFonts w:hint="eastAsia" w:ascii="仿宋" w:hAnsi="仿宋" w:eastAsia="仿宋" w:cs="仿宋"/>
          <w:szCs w:val="21"/>
          <w:highlight w:val="none"/>
        </w:rPr>
      </w:pPr>
      <w:r>
        <w:rPr>
          <w:rFonts w:hint="eastAsia" w:ascii="仿宋" w:hAnsi="仿宋" w:eastAsia="仿宋" w:cs="仿宋"/>
          <w:szCs w:val="21"/>
          <w:highlight w:val="none"/>
        </w:rPr>
        <w:t>（1）本项目为单位自建房屋不动产测绘服务，服务成果必须满足武汉市不动产登记中心办理不动产权证书的全部技术标准、数据标准、格式标准和审核要求。</w:t>
      </w:r>
    </w:p>
    <w:p w14:paraId="7F027B86">
      <w:pPr>
        <w:ind w:firstLine="482"/>
        <w:rPr>
          <w:rFonts w:hint="eastAsia" w:ascii="仿宋" w:hAnsi="仿宋" w:eastAsia="仿宋" w:cs="仿宋"/>
          <w:szCs w:val="21"/>
          <w:highlight w:val="none"/>
        </w:rPr>
      </w:pPr>
      <w:r>
        <w:rPr>
          <w:rFonts w:hint="eastAsia" w:ascii="仿宋" w:hAnsi="仿宋" w:eastAsia="仿宋" w:cs="仿宋"/>
          <w:szCs w:val="21"/>
          <w:highlight w:val="none"/>
        </w:rPr>
        <w:t>（2）供应商须熟悉武汉市不动产房产测绘审核规则及流程要求，需在武汉市自然资源和城乡建设局的“多测合一”服务平台进行入库。</w:t>
      </w:r>
    </w:p>
    <w:p w14:paraId="56F2B27B">
      <w:pPr>
        <w:ind w:firstLine="482"/>
        <w:rPr>
          <w:rFonts w:hint="eastAsia" w:ascii="仿宋" w:hAnsi="仿宋" w:eastAsia="仿宋" w:cs="仿宋"/>
          <w:szCs w:val="21"/>
          <w:highlight w:val="none"/>
        </w:rPr>
      </w:pPr>
      <w:r>
        <w:rPr>
          <w:rFonts w:hint="eastAsia" w:ascii="仿宋" w:hAnsi="仿宋" w:eastAsia="仿宋" w:cs="仿宋"/>
          <w:szCs w:val="21"/>
          <w:highlight w:val="none"/>
        </w:rPr>
        <w:t>（3）所有服务内容实行总价包干，涵盖外业测量、内业计算、报告编制、图纸出图、图纸报审图审、成果移交等全部工作。</w:t>
      </w:r>
    </w:p>
    <w:p w14:paraId="36AFB1D0">
      <w:pPr>
        <w:rPr>
          <w:rFonts w:hint="eastAsia" w:ascii="仿宋" w:hAnsi="仿宋" w:eastAsia="仿宋" w:cs="仿宋"/>
          <w:b/>
          <w:bCs/>
          <w:szCs w:val="21"/>
          <w:highlight w:val="none"/>
        </w:rPr>
      </w:pPr>
      <w:r>
        <w:rPr>
          <w:rFonts w:hint="eastAsia" w:ascii="仿宋" w:hAnsi="仿宋" w:eastAsia="仿宋" w:cs="仿宋"/>
          <w:b/>
          <w:bCs/>
          <w:szCs w:val="21"/>
          <w:highlight w:val="none"/>
        </w:rPr>
        <w:t>3、技术要求</w:t>
      </w:r>
    </w:p>
    <w:p w14:paraId="67272996">
      <w:pPr>
        <w:ind w:firstLine="482"/>
        <w:rPr>
          <w:rFonts w:hint="eastAsia" w:ascii="仿宋" w:hAnsi="仿宋" w:eastAsia="仿宋" w:cs="仿宋"/>
          <w:b/>
          <w:bCs/>
          <w:szCs w:val="21"/>
          <w:highlight w:val="none"/>
        </w:rPr>
      </w:pPr>
      <w:r>
        <w:rPr>
          <w:rFonts w:hint="eastAsia" w:ascii="仿宋" w:hAnsi="仿宋" w:eastAsia="仿宋" w:cs="仿宋"/>
          <w:b/>
          <w:bCs/>
          <w:szCs w:val="21"/>
          <w:highlight w:val="none"/>
        </w:rPr>
        <w:t>3.1 执行标准与规范</w:t>
      </w:r>
    </w:p>
    <w:p w14:paraId="3B557770">
      <w:pPr>
        <w:ind w:firstLine="482"/>
        <w:rPr>
          <w:rFonts w:hint="eastAsia" w:ascii="仿宋" w:hAnsi="仿宋" w:eastAsia="仿宋" w:cs="仿宋"/>
          <w:szCs w:val="21"/>
          <w:highlight w:val="none"/>
        </w:rPr>
      </w:pPr>
      <w:r>
        <w:rPr>
          <w:rFonts w:hint="eastAsia" w:ascii="仿宋" w:hAnsi="仿宋" w:eastAsia="仿宋" w:cs="仿宋"/>
          <w:szCs w:val="21"/>
          <w:highlight w:val="none"/>
        </w:rPr>
        <w:t>所有工作及成果必须严格执行以下现行有效标准、规范及地方规定：</w:t>
      </w:r>
    </w:p>
    <w:p w14:paraId="370C0DA5">
      <w:pPr>
        <w:ind w:firstLine="482"/>
        <w:rPr>
          <w:rFonts w:hint="eastAsia" w:ascii="仿宋" w:hAnsi="仿宋" w:eastAsia="仿宋" w:cs="仿宋"/>
          <w:szCs w:val="21"/>
          <w:highlight w:val="none"/>
        </w:rPr>
      </w:pPr>
      <w:r>
        <w:rPr>
          <w:rFonts w:hint="eastAsia" w:ascii="仿宋" w:hAnsi="仿宋" w:eastAsia="仿宋" w:cs="仿宋"/>
          <w:szCs w:val="21"/>
          <w:highlight w:val="none"/>
        </w:rPr>
        <w:t>《武汉市不动产登记技术细则》</w:t>
      </w:r>
    </w:p>
    <w:p w14:paraId="1EC82F4A">
      <w:pPr>
        <w:ind w:firstLine="482"/>
        <w:rPr>
          <w:rFonts w:hint="eastAsia" w:ascii="仿宋" w:hAnsi="仿宋" w:eastAsia="仿宋" w:cs="仿宋"/>
          <w:szCs w:val="21"/>
          <w:highlight w:val="none"/>
        </w:rPr>
      </w:pPr>
      <w:r>
        <w:rPr>
          <w:rFonts w:hint="eastAsia" w:ascii="仿宋" w:hAnsi="仿宋" w:eastAsia="仿宋" w:cs="仿宋"/>
          <w:szCs w:val="21"/>
          <w:highlight w:val="none"/>
        </w:rPr>
        <w:t>《武汉市房产测绘实施细则》</w:t>
      </w:r>
    </w:p>
    <w:p w14:paraId="31E6418F">
      <w:pPr>
        <w:ind w:firstLine="482"/>
        <w:rPr>
          <w:rFonts w:hint="eastAsia" w:ascii="仿宋" w:hAnsi="仿宋" w:eastAsia="仿宋" w:cs="仿宋"/>
          <w:szCs w:val="21"/>
          <w:highlight w:val="none"/>
        </w:rPr>
      </w:pPr>
      <w:r>
        <w:rPr>
          <w:rFonts w:hint="eastAsia" w:ascii="仿宋" w:hAnsi="仿宋" w:eastAsia="仿宋" w:cs="仿宋"/>
          <w:szCs w:val="21"/>
          <w:highlight w:val="none"/>
        </w:rPr>
        <w:t>武汉市自然资源和规划局、不动产登记中心现行有效规定、系统入库标准</w:t>
      </w:r>
    </w:p>
    <w:p w14:paraId="43C85281">
      <w:pPr>
        <w:ind w:firstLine="482"/>
        <w:rPr>
          <w:rFonts w:hint="eastAsia" w:ascii="仿宋" w:hAnsi="仿宋" w:eastAsia="仿宋" w:cs="仿宋"/>
          <w:szCs w:val="21"/>
          <w:highlight w:val="none"/>
        </w:rPr>
      </w:pPr>
      <w:r>
        <w:rPr>
          <w:rFonts w:hint="eastAsia" w:ascii="仿宋" w:hAnsi="仿宋" w:eastAsia="仿宋" w:cs="仿宋"/>
          <w:szCs w:val="21"/>
          <w:highlight w:val="none"/>
        </w:rPr>
        <w:t>《地籍调查规程》（TD/T 1001-2012）</w:t>
      </w:r>
    </w:p>
    <w:p w14:paraId="4E005434">
      <w:pPr>
        <w:ind w:firstLine="482"/>
        <w:rPr>
          <w:rFonts w:hint="eastAsia" w:ascii="仿宋" w:hAnsi="仿宋" w:eastAsia="仿宋" w:cs="仿宋"/>
          <w:szCs w:val="21"/>
          <w:highlight w:val="none"/>
        </w:rPr>
      </w:pPr>
      <w:r>
        <w:rPr>
          <w:rFonts w:hint="eastAsia" w:ascii="仿宋" w:hAnsi="仿宋" w:eastAsia="仿宋" w:cs="仿宋"/>
          <w:szCs w:val="21"/>
          <w:highlight w:val="none"/>
        </w:rPr>
        <w:t>《房产测量规范》（GB/T 17986.1-2000）</w:t>
      </w:r>
    </w:p>
    <w:p w14:paraId="1F949DE1">
      <w:pPr>
        <w:ind w:firstLine="482"/>
        <w:rPr>
          <w:rFonts w:hint="eastAsia" w:ascii="仿宋" w:hAnsi="仿宋" w:eastAsia="仿宋" w:cs="仿宋"/>
          <w:b/>
          <w:bCs/>
          <w:szCs w:val="21"/>
          <w:highlight w:val="none"/>
        </w:rPr>
      </w:pPr>
      <w:r>
        <w:rPr>
          <w:rFonts w:hint="eastAsia" w:ascii="仿宋" w:hAnsi="仿宋" w:eastAsia="仿宋" w:cs="仿宋"/>
          <w:b/>
          <w:bCs/>
          <w:szCs w:val="21"/>
          <w:highlight w:val="none"/>
        </w:rPr>
        <w:t>3.</w:t>
      </w:r>
      <w:r>
        <w:rPr>
          <w:rFonts w:ascii="仿宋" w:hAnsi="仿宋" w:eastAsia="仿宋" w:cs="仿宋"/>
          <w:b/>
          <w:bCs/>
          <w:szCs w:val="21"/>
          <w:highlight w:val="none"/>
        </w:rPr>
        <w:t>2</w:t>
      </w:r>
      <w:r>
        <w:rPr>
          <w:rFonts w:hint="eastAsia" w:ascii="仿宋" w:hAnsi="仿宋" w:eastAsia="仿宋" w:cs="仿宋"/>
          <w:b/>
          <w:bCs/>
          <w:szCs w:val="21"/>
          <w:highlight w:val="none"/>
        </w:rPr>
        <w:t xml:space="preserve"> 房屋房产测绘技术要求</w:t>
      </w:r>
    </w:p>
    <w:p w14:paraId="267BA941">
      <w:pPr>
        <w:ind w:firstLine="482"/>
        <w:rPr>
          <w:rFonts w:hint="eastAsia" w:ascii="仿宋" w:hAnsi="仿宋" w:eastAsia="仿宋" w:cs="仿宋"/>
          <w:szCs w:val="21"/>
          <w:highlight w:val="none"/>
        </w:rPr>
      </w:pPr>
      <w:r>
        <w:rPr>
          <w:rFonts w:hint="eastAsia" w:ascii="仿宋" w:hAnsi="仿宋" w:eastAsia="仿宋" w:cs="仿宋"/>
          <w:szCs w:val="21"/>
          <w:highlight w:val="none"/>
        </w:rPr>
        <w:t>对房屋整体、分层、分户、附属用房、楼梯、走道、外墙等部位全面实地测量，如实记录房屋结构、层数、层高、用途、坐落等信息。</w:t>
      </w:r>
    </w:p>
    <w:p w14:paraId="4CD8E481">
      <w:pPr>
        <w:ind w:firstLine="482"/>
        <w:rPr>
          <w:rFonts w:hint="eastAsia" w:ascii="仿宋" w:hAnsi="仿宋" w:eastAsia="仿宋" w:cs="仿宋"/>
          <w:szCs w:val="21"/>
          <w:highlight w:val="none"/>
        </w:rPr>
      </w:pPr>
      <w:r>
        <w:rPr>
          <w:rFonts w:hint="eastAsia" w:ascii="仿宋" w:hAnsi="仿宋" w:eastAsia="仿宋" w:cs="仿宋"/>
          <w:szCs w:val="21"/>
          <w:highlight w:val="none"/>
        </w:rPr>
        <w:t>严格按照规范计算总建筑面积、套内建筑面积、共有建筑面积、分摊面积，分摊规则清晰、计算过程可追溯，杜绝错算、漏算、重算问题。</w:t>
      </w:r>
    </w:p>
    <w:p w14:paraId="67DB9C0A">
      <w:pPr>
        <w:ind w:firstLine="482"/>
        <w:rPr>
          <w:rFonts w:hint="eastAsia" w:ascii="仿宋" w:hAnsi="仿宋" w:eastAsia="仿宋" w:cs="仿宋"/>
          <w:szCs w:val="21"/>
          <w:highlight w:val="none"/>
        </w:rPr>
      </w:pPr>
      <w:r>
        <w:rPr>
          <w:rFonts w:hint="eastAsia" w:ascii="仿宋" w:hAnsi="仿宋" w:eastAsia="仿宋" w:cs="仿宋"/>
          <w:szCs w:val="21"/>
          <w:highlight w:val="none"/>
        </w:rPr>
        <w:t>完成分幅分丘图、房屋现状图、分层分户平面图绘制，图纸尺寸、幢号、户号、丘号、坐落、权属界线、墙体归属等标识符合不动产登记出图标准，图纸清晰、比例恰当、签章齐全。</w:t>
      </w:r>
    </w:p>
    <w:p w14:paraId="69B7A372">
      <w:pPr>
        <w:ind w:firstLine="482"/>
        <w:rPr>
          <w:rFonts w:hint="eastAsia" w:ascii="仿宋" w:hAnsi="仿宋" w:eastAsia="仿宋" w:cs="仿宋"/>
          <w:szCs w:val="21"/>
          <w:highlight w:val="none"/>
        </w:rPr>
      </w:pPr>
      <w:r>
        <w:rPr>
          <w:rFonts w:hint="eastAsia" w:ascii="仿宋" w:hAnsi="仿宋" w:eastAsia="仿宋" w:cs="仿宋"/>
          <w:szCs w:val="21"/>
          <w:highlight w:val="none"/>
        </w:rPr>
        <w:t>出具正式房产测绘成果报告书，内容完整、逻辑一致，加盖有效测绘资质印章。</w:t>
      </w:r>
      <w:r>
        <w:rPr>
          <w:rFonts w:ascii="仿宋" w:hAnsi="仿宋" w:eastAsia="仿宋" w:cs="仿宋"/>
          <w:szCs w:val="21"/>
          <w:highlight w:val="none"/>
        </w:rPr>
        <w:t>房产测绘图纸须符合武汉市住房和城市更新局办理图件审核，并取得房屋面积管理(图件审核)通知单。</w:t>
      </w:r>
    </w:p>
    <w:p w14:paraId="7DC650C4">
      <w:pPr>
        <w:ind w:firstLine="482"/>
        <w:rPr>
          <w:rFonts w:hint="eastAsia" w:ascii="仿宋" w:hAnsi="仿宋" w:eastAsia="仿宋" w:cs="仿宋"/>
          <w:szCs w:val="21"/>
          <w:highlight w:val="none"/>
        </w:rPr>
      </w:pPr>
      <w:r>
        <w:rPr>
          <w:rFonts w:hint="eastAsia" w:ascii="仿宋" w:hAnsi="仿宋" w:eastAsia="仿宋" w:cs="仿宋"/>
          <w:szCs w:val="21"/>
          <w:highlight w:val="none"/>
        </w:rPr>
        <w:t>将房产全套成果报送房管窗口完成图审，图审通过后</w:t>
      </w:r>
      <w:r>
        <w:rPr>
          <w:rFonts w:ascii="仿宋" w:hAnsi="仿宋" w:eastAsia="仿宋" w:cs="仿宋"/>
          <w:szCs w:val="21"/>
          <w:highlight w:val="none"/>
        </w:rPr>
        <w:t>协助甲方</w:t>
      </w:r>
      <w:r>
        <w:rPr>
          <w:rFonts w:hint="eastAsia" w:ascii="仿宋" w:hAnsi="仿宋" w:eastAsia="仿宋" w:cs="仿宋"/>
          <w:szCs w:val="21"/>
          <w:highlight w:val="none"/>
        </w:rPr>
        <w:t>开展实测建盘，</w:t>
      </w:r>
      <w:r>
        <w:rPr>
          <w:rFonts w:ascii="仿宋" w:hAnsi="仿宋" w:eastAsia="仿宋" w:cs="仿宋"/>
          <w:szCs w:val="21"/>
          <w:highlight w:val="none"/>
        </w:rPr>
        <w:t>并取得武汉市房屋楼盘表确认告知书。</w:t>
      </w:r>
    </w:p>
    <w:p w14:paraId="577B392E">
      <w:pPr>
        <w:ind w:firstLine="482"/>
        <w:rPr>
          <w:rFonts w:hint="eastAsia" w:ascii="仿宋" w:hAnsi="仿宋" w:eastAsia="仿宋" w:cs="仿宋"/>
          <w:szCs w:val="21"/>
          <w:highlight w:val="none"/>
        </w:rPr>
      </w:pPr>
      <w:r>
        <w:rPr>
          <w:rFonts w:hint="eastAsia" w:ascii="仿宋" w:hAnsi="仿宋" w:eastAsia="仿宋" w:cs="仿宋"/>
          <w:szCs w:val="24"/>
          <w:highlight w:val="none"/>
        </w:rPr>
        <w:t>配合采购人在建项环节上传相应的测绘资料。</w:t>
      </w:r>
    </w:p>
    <w:p w14:paraId="31C16BB9">
      <w:pPr>
        <w:ind w:firstLine="482"/>
        <w:rPr>
          <w:rFonts w:hint="eastAsia" w:ascii="仿宋" w:hAnsi="仿宋" w:eastAsia="仿宋" w:cs="仿宋"/>
          <w:b/>
          <w:bCs/>
          <w:szCs w:val="21"/>
          <w:highlight w:val="none"/>
        </w:rPr>
      </w:pPr>
      <w:r>
        <w:rPr>
          <w:rFonts w:hint="eastAsia" w:ascii="仿宋" w:hAnsi="仿宋" w:eastAsia="仿宋" w:cs="仿宋"/>
          <w:b/>
          <w:bCs/>
          <w:szCs w:val="21"/>
          <w:highlight w:val="none"/>
        </w:rPr>
        <w:t>3.5 成果资料技术要求</w:t>
      </w:r>
    </w:p>
    <w:p w14:paraId="4E463BF1">
      <w:pPr>
        <w:ind w:firstLine="482"/>
        <w:rPr>
          <w:rFonts w:hint="eastAsia" w:ascii="仿宋" w:hAnsi="仿宋" w:eastAsia="仿宋" w:cs="仿宋"/>
          <w:szCs w:val="21"/>
          <w:highlight w:val="none"/>
        </w:rPr>
      </w:pPr>
      <w:r>
        <w:rPr>
          <w:rFonts w:hint="eastAsia" w:ascii="仿宋" w:hAnsi="仿宋" w:eastAsia="仿宋" w:cs="仿宋"/>
          <w:szCs w:val="21"/>
          <w:highlight w:val="none"/>
        </w:rPr>
        <w:t>纸质成果：房产测绘报告、房产分幅分丘平面图测绘技术报告、分丘图、分层分户图等，装订规范、份数满足登记部门及采购人要求。</w:t>
      </w:r>
    </w:p>
    <w:p w14:paraId="0E69E8DF">
      <w:pPr>
        <w:ind w:firstLine="482"/>
        <w:rPr>
          <w:rFonts w:hint="eastAsia" w:ascii="仿宋" w:hAnsi="仿宋" w:eastAsia="仿宋" w:cs="仿宋"/>
          <w:szCs w:val="21"/>
          <w:highlight w:val="none"/>
        </w:rPr>
      </w:pPr>
      <w:r>
        <w:rPr>
          <w:rFonts w:hint="eastAsia" w:ascii="仿宋" w:hAnsi="仿宋" w:eastAsia="仿宋" w:cs="仿宋"/>
          <w:szCs w:val="21"/>
          <w:highlight w:val="none"/>
        </w:rPr>
        <w:t>电子成果：CAD图纸、PDF扫描件、楼盘表电子文档等，分类存储、命名规范、数据完整。</w:t>
      </w:r>
    </w:p>
    <w:p w14:paraId="79582482">
      <w:pPr>
        <w:ind w:firstLine="482"/>
        <w:rPr>
          <w:rFonts w:hint="eastAsia" w:ascii="仿宋" w:hAnsi="仿宋" w:eastAsia="仿宋" w:cs="仿宋"/>
          <w:szCs w:val="21"/>
          <w:highlight w:val="none"/>
        </w:rPr>
      </w:pPr>
      <w:r>
        <w:rPr>
          <w:rFonts w:hint="eastAsia" w:ascii="仿宋" w:hAnsi="仿宋" w:eastAsia="仿宋" w:cs="仿宋"/>
          <w:szCs w:val="21"/>
          <w:highlight w:val="none"/>
        </w:rPr>
        <w:t>所有成果签章合法有效，可直接用于不动产登记审核、归档，具备长期法律效力。</w:t>
      </w:r>
    </w:p>
    <w:p w14:paraId="2581AC0A">
      <w:pPr>
        <w:rPr>
          <w:rFonts w:hint="eastAsia" w:ascii="仿宋" w:hAnsi="仿宋" w:eastAsia="仿宋" w:cs="仿宋"/>
          <w:b/>
          <w:bCs/>
          <w:szCs w:val="21"/>
          <w:highlight w:val="none"/>
        </w:rPr>
      </w:pPr>
      <w:r>
        <w:rPr>
          <w:rFonts w:hint="eastAsia" w:ascii="仿宋" w:hAnsi="仿宋" w:eastAsia="仿宋" w:cs="仿宋"/>
          <w:b/>
          <w:bCs/>
          <w:szCs w:val="21"/>
          <w:highlight w:val="none"/>
        </w:rPr>
        <w:t>4、服务要求</w:t>
      </w:r>
    </w:p>
    <w:p w14:paraId="64F608EB">
      <w:pPr>
        <w:ind w:firstLine="482"/>
        <w:rPr>
          <w:rFonts w:hint="eastAsia" w:ascii="仿宋" w:hAnsi="仿宋" w:eastAsia="仿宋" w:cs="仿宋"/>
          <w:szCs w:val="21"/>
          <w:highlight w:val="none"/>
        </w:rPr>
      </w:pPr>
      <w:r>
        <w:rPr>
          <w:rFonts w:hint="eastAsia" w:ascii="仿宋" w:hAnsi="仿宋" w:eastAsia="仿宋" w:cs="仿宋"/>
          <w:szCs w:val="21"/>
          <w:highlight w:val="none"/>
        </w:rPr>
        <w:t>（1）进度与时效服务</w:t>
      </w:r>
    </w:p>
    <w:p w14:paraId="68E47179">
      <w:pPr>
        <w:ind w:firstLine="482"/>
        <w:rPr>
          <w:rFonts w:hint="eastAsia" w:ascii="仿宋" w:hAnsi="仿宋" w:eastAsia="仿宋" w:cs="仿宋"/>
          <w:szCs w:val="21"/>
          <w:highlight w:val="none"/>
        </w:rPr>
      </w:pPr>
      <w:r>
        <w:rPr>
          <w:rFonts w:hint="eastAsia" w:ascii="仿宋" w:hAnsi="仿宋" w:eastAsia="仿宋" w:cs="仿宋"/>
          <w:szCs w:val="21"/>
          <w:highlight w:val="none"/>
        </w:rPr>
        <w:t>按合同约定工期完成测绘并提交合格成果。</w:t>
      </w:r>
    </w:p>
    <w:p w14:paraId="58CE082F">
      <w:pPr>
        <w:ind w:firstLine="482"/>
        <w:rPr>
          <w:rFonts w:hint="eastAsia" w:ascii="仿宋" w:hAnsi="仿宋" w:eastAsia="仿宋" w:cs="仿宋"/>
          <w:szCs w:val="21"/>
          <w:highlight w:val="none"/>
        </w:rPr>
      </w:pPr>
      <w:r>
        <w:rPr>
          <w:rFonts w:hint="eastAsia" w:ascii="仿宋" w:hAnsi="仿宋" w:eastAsia="仿宋" w:cs="仿宋"/>
          <w:szCs w:val="21"/>
          <w:highlight w:val="none"/>
        </w:rPr>
        <w:t>接到采购人通知后24小时内到场，收到整改要求后，一般问题1个工作日内完成整改，复杂问题3个工作日内完成整改并报送复核。</w:t>
      </w:r>
    </w:p>
    <w:p w14:paraId="21C46EBF">
      <w:pPr>
        <w:ind w:firstLine="482"/>
        <w:rPr>
          <w:rFonts w:hint="eastAsia" w:ascii="仿宋" w:hAnsi="仿宋" w:eastAsia="仿宋" w:cs="仿宋"/>
          <w:szCs w:val="21"/>
          <w:highlight w:val="none"/>
        </w:rPr>
      </w:pPr>
      <w:r>
        <w:rPr>
          <w:rFonts w:hint="eastAsia" w:ascii="仿宋" w:hAnsi="仿宋" w:eastAsia="仿宋" w:cs="仿宋"/>
          <w:szCs w:val="21"/>
          <w:highlight w:val="none"/>
        </w:rPr>
        <w:t>（2）现场服务</w:t>
      </w:r>
    </w:p>
    <w:p w14:paraId="4FD9BE63">
      <w:pPr>
        <w:ind w:firstLine="482"/>
        <w:rPr>
          <w:rFonts w:hint="eastAsia" w:ascii="仿宋" w:hAnsi="仿宋" w:eastAsia="仿宋" w:cs="仿宋"/>
          <w:szCs w:val="21"/>
          <w:highlight w:val="none"/>
        </w:rPr>
      </w:pPr>
      <w:r>
        <w:rPr>
          <w:rFonts w:hint="eastAsia" w:ascii="仿宋" w:hAnsi="仿宋" w:eastAsia="仿宋" w:cs="仿宋"/>
          <w:szCs w:val="21"/>
          <w:highlight w:val="none"/>
        </w:rPr>
        <w:t>上门踏勘、上门测量、配合核验、陪同现场勘验均及时响应。</w:t>
      </w:r>
    </w:p>
    <w:p w14:paraId="6D162B2F">
      <w:pPr>
        <w:ind w:firstLine="482"/>
        <w:rPr>
          <w:rFonts w:hint="eastAsia" w:ascii="仿宋" w:hAnsi="仿宋" w:eastAsia="仿宋" w:cs="仿宋"/>
          <w:szCs w:val="21"/>
          <w:highlight w:val="none"/>
        </w:rPr>
      </w:pPr>
      <w:r>
        <w:rPr>
          <w:rFonts w:hint="eastAsia" w:ascii="仿宋" w:hAnsi="仿宋" w:eastAsia="仿宋" w:cs="仿宋"/>
          <w:szCs w:val="21"/>
          <w:highlight w:val="none"/>
        </w:rPr>
        <w:t>（3资料移交服务</w:t>
      </w:r>
    </w:p>
    <w:p w14:paraId="29700443">
      <w:pPr>
        <w:ind w:firstLine="482"/>
        <w:rPr>
          <w:rFonts w:hint="eastAsia" w:ascii="仿宋" w:hAnsi="仿宋" w:eastAsia="仿宋" w:cs="仿宋"/>
          <w:szCs w:val="21"/>
          <w:highlight w:val="none"/>
        </w:rPr>
      </w:pPr>
      <w:r>
        <w:rPr>
          <w:rFonts w:hint="eastAsia" w:ascii="仿宋" w:hAnsi="仿宋" w:eastAsia="仿宋" w:cs="仿宋"/>
          <w:szCs w:val="21"/>
          <w:highlight w:val="none"/>
        </w:rPr>
        <w:t>向采购人移交：房产测绘报告、房产分幅分丘平面图测绘技术报告、分层分户图、分幅分丘图电子数据、归档资料等全套文件。</w:t>
      </w:r>
    </w:p>
    <w:p w14:paraId="33BA0939">
      <w:pPr>
        <w:ind w:firstLine="482"/>
        <w:rPr>
          <w:rFonts w:hint="eastAsia" w:ascii="仿宋" w:hAnsi="仿宋" w:eastAsia="仿宋" w:cs="仿宋"/>
          <w:szCs w:val="21"/>
          <w:highlight w:val="none"/>
        </w:rPr>
      </w:pPr>
      <w:r>
        <w:rPr>
          <w:rFonts w:hint="eastAsia" w:ascii="仿宋" w:hAnsi="仿宋" w:eastAsia="仿宋" w:cs="仿宋"/>
          <w:szCs w:val="21"/>
          <w:highlight w:val="none"/>
        </w:rPr>
        <w:t>（4）质保服务</w:t>
      </w:r>
    </w:p>
    <w:p w14:paraId="334E107E">
      <w:pPr>
        <w:ind w:firstLine="482"/>
        <w:rPr>
          <w:rFonts w:hint="eastAsia" w:ascii="仿宋" w:hAnsi="仿宋" w:eastAsia="仿宋" w:cs="仿宋"/>
          <w:snapToGrid w:val="0"/>
          <w:szCs w:val="24"/>
          <w:highlight w:val="none"/>
        </w:rPr>
      </w:pPr>
      <w:r>
        <w:rPr>
          <w:rFonts w:hint="eastAsia" w:ascii="仿宋" w:hAnsi="仿宋" w:eastAsia="仿宋" w:cs="仿宋"/>
          <w:szCs w:val="21"/>
          <w:highlight w:val="none"/>
        </w:rPr>
        <w:t>自取得</w:t>
      </w:r>
      <w:r>
        <w:rPr>
          <w:rFonts w:ascii="仿宋" w:hAnsi="仿宋" w:eastAsia="仿宋" w:cs="仿宋"/>
          <w:szCs w:val="21"/>
          <w:highlight w:val="none"/>
        </w:rPr>
        <w:t>武汉市房屋楼盘表确认告知书</w:t>
      </w:r>
      <w:r>
        <w:rPr>
          <w:rFonts w:hint="eastAsia" w:ascii="仿宋" w:hAnsi="仿宋" w:eastAsia="仿宋" w:cs="仿宋"/>
          <w:szCs w:val="21"/>
          <w:highlight w:val="none"/>
        </w:rPr>
        <w:t>之日起，提供1年质保期，质保期内无偿配合登记部门复核、档案核查、信息更正等技术服务。</w:t>
      </w:r>
    </w:p>
    <w:p w14:paraId="09B16337">
      <w:pPr>
        <w:pStyle w:val="3"/>
        <w:numPr>
          <w:ilvl w:val="0"/>
          <w:numId w:val="1"/>
        </w:numPr>
        <w:spacing w:before="140" w:after="140"/>
        <w:rPr>
          <w:rFonts w:hint="eastAsia" w:ascii="仿宋" w:hAnsi="仿宋" w:eastAsia="仿宋" w:cs="仿宋"/>
          <w:b/>
          <w:bCs/>
          <w:highlight w:val="none"/>
        </w:rPr>
      </w:pPr>
      <w:r>
        <w:rPr>
          <w:rFonts w:hint="eastAsia" w:ascii="仿宋" w:hAnsi="仿宋" w:eastAsia="仿宋" w:cs="仿宋"/>
          <w:b/>
          <w:bCs/>
          <w:highlight w:val="none"/>
        </w:rPr>
        <w:t>商务要求</w:t>
      </w:r>
    </w:p>
    <w:p w14:paraId="3D24B925">
      <w:pPr>
        <w:pStyle w:val="6"/>
        <w:tabs>
          <w:tab w:val="left" w:pos="809"/>
        </w:tabs>
        <w:autoSpaceDE w:val="0"/>
        <w:autoSpaceDN w:val="0"/>
        <w:spacing w:before="156" w:beforeLines="50"/>
        <w:jc w:val="both"/>
        <w:rPr>
          <w:rFonts w:hint="eastAsia" w:ascii="仿宋" w:hAnsi="仿宋" w:eastAsia="仿宋" w:cs="仿宋"/>
          <w:b/>
          <w:bCs/>
          <w:szCs w:val="24"/>
          <w:highlight w:val="none"/>
        </w:rPr>
      </w:pPr>
      <w:r>
        <w:rPr>
          <w:rFonts w:hint="eastAsia" w:ascii="仿宋_GB2312" w:hAnsi="仿宋_GB2312" w:eastAsia="仿宋_GB2312" w:cs="仿宋_GB2312"/>
          <w:b/>
          <w:bCs/>
          <w:szCs w:val="24"/>
          <w:highlight w:val="none"/>
        </w:rPr>
        <w:t>说明：“★”号标注的内容为实质性要求，必须满足或优于该要求，否则按照无效投标处理。商务要求须在响应文件《商务响应偏离表》中对以下条款进行响应描述或偏离说明。</w:t>
      </w:r>
    </w:p>
    <w:tbl>
      <w:tblPr>
        <w:tblStyle w:val="4"/>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496"/>
        <w:gridCol w:w="880"/>
        <w:gridCol w:w="5739"/>
      </w:tblGrid>
      <w:tr w14:paraId="2887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703" w:type="dxa"/>
            <w:vAlign w:val="center"/>
          </w:tcPr>
          <w:p w14:paraId="1A9007CB">
            <w:pPr>
              <w:autoSpaceDE w:val="0"/>
              <w:autoSpaceDN w:val="0"/>
              <w:adjustRightInd w:val="0"/>
              <w:snapToGrid w:val="0"/>
              <w:spacing w:line="240" w:lineRule="auto"/>
              <w:jc w:val="center"/>
              <w:rPr>
                <w:rFonts w:hint="eastAsia" w:ascii="仿宋" w:hAnsi="仿宋" w:eastAsia="仿宋" w:cs="仿宋"/>
                <w:b/>
                <w:snapToGrid w:val="0"/>
                <w:kern w:val="0"/>
                <w:szCs w:val="24"/>
                <w:highlight w:val="none"/>
                <w:lang w:val="zh-CN"/>
              </w:rPr>
            </w:pPr>
            <w:r>
              <w:rPr>
                <w:rFonts w:hint="eastAsia" w:ascii="仿宋" w:hAnsi="仿宋" w:eastAsia="仿宋" w:cs="仿宋"/>
                <w:b/>
                <w:snapToGrid w:val="0"/>
                <w:kern w:val="0"/>
                <w:szCs w:val="24"/>
                <w:highlight w:val="none"/>
                <w:lang w:val="zh-CN"/>
              </w:rPr>
              <w:t>序号</w:t>
            </w:r>
          </w:p>
        </w:tc>
        <w:tc>
          <w:tcPr>
            <w:tcW w:w="1496" w:type="dxa"/>
            <w:vAlign w:val="center"/>
          </w:tcPr>
          <w:p w14:paraId="288B25FD">
            <w:pPr>
              <w:autoSpaceDE w:val="0"/>
              <w:autoSpaceDN w:val="0"/>
              <w:adjustRightInd w:val="0"/>
              <w:snapToGrid w:val="0"/>
              <w:spacing w:line="240" w:lineRule="auto"/>
              <w:jc w:val="center"/>
              <w:rPr>
                <w:rFonts w:hint="eastAsia" w:ascii="仿宋" w:hAnsi="仿宋" w:eastAsia="仿宋" w:cs="仿宋"/>
                <w:b/>
                <w:snapToGrid w:val="0"/>
                <w:kern w:val="0"/>
                <w:szCs w:val="24"/>
                <w:highlight w:val="none"/>
                <w:lang w:val="zh-CN"/>
              </w:rPr>
            </w:pPr>
            <w:r>
              <w:rPr>
                <w:rFonts w:hint="eastAsia" w:ascii="仿宋" w:hAnsi="仿宋" w:eastAsia="仿宋" w:cs="仿宋"/>
                <w:b/>
                <w:snapToGrid w:val="0"/>
                <w:kern w:val="0"/>
                <w:szCs w:val="24"/>
                <w:highlight w:val="none"/>
                <w:lang w:val="zh-CN"/>
              </w:rPr>
              <w:t>指标项</w:t>
            </w:r>
          </w:p>
        </w:tc>
        <w:tc>
          <w:tcPr>
            <w:tcW w:w="880" w:type="dxa"/>
            <w:vAlign w:val="center"/>
          </w:tcPr>
          <w:p w14:paraId="7B85C012">
            <w:pPr>
              <w:autoSpaceDE w:val="0"/>
              <w:autoSpaceDN w:val="0"/>
              <w:adjustRightInd w:val="0"/>
              <w:snapToGrid w:val="0"/>
              <w:spacing w:line="240" w:lineRule="auto"/>
              <w:jc w:val="center"/>
              <w:rPr>
                <w:rFonts w:hint="eastAsia" w:ascii="仿宋" w:hAnsi="仿宋" w:eastAsia="仿宋" w:cs="仿宋"/>
                <w:b/>
                <w:snapToGrid w:val="0"/>
                <w:kern w:val="0"/>
                <w:szCs w:val="24"/>
                <w:highlight w:val="none"/>
                <w:lang w:val="zh-CN"/>
              </w:rPr>
            </w:pPr>
            <w:r>
              <w:rPr>
                <w:rFonts w:hint="eastAsia" w:ascii="仿宋" w:hAnsi="仿宋" w:eastAsia="仿宋" w:cs="仿宋"/>
                <w:b/>
                <w:snapToGrid w:val="0"/>
                <w:kern w:val="0"/>
                <w:szCs w:val="24"/>
                <w:highlight w:val="none"/>
                <w:lang w:val="zh-CN"/>
              </w:rPr>
              <w:t>重要性</w:t>
            </w:r>
          </w:p>
        </w:tc>
        <w:tc>
          <w:tcPr>
            <w:tcW w:w="5739" w:type="dxa"/>
            <w:vAlign w:val="center"/>
          </w:tcPr>
          <w:p w14:paraId="71AF2E24">
            <w:pPr>
              <w:autoSpaceDE w:val="0"/>
              <w:autoSpaceDN w:val="0"/>
              <w:adjustRightInd w:val="0"/>
              <w:snapToGrid w:val="0"/>
              <w:spacing w:line="240" w:lineRule="auto"/>
              <w:jc w:val="center"/>
              <w:rPr>
                <w:rFonts w:hint="eastAsia" w:ascii="仿宋" w:hAnsi="仿宋" w:eastAsia="仿宋" w:cs="仿宋"/>
                <w:b/>
                <w:snapToGrid w:val="0"/>
                <w:kern w:val="0"/>
                <w:szCs w:val="24"/>
                <w:highlight w:val="none"/>
                <w:lang w:val="zh-CN"/>
              </w:rPr>
            </w:pPr>
            <w:r>
              <w:rPr>
                <w:rFonts w:hint="eastAsia" w:ascii="仿宋" w:hAnsi="仿宋" w:eastAsia="仿宋" w:cs="仿宋"/>
                <w:b/>
                <w:snapToGrid w:val="0"/>
                <w:kern w:val="0"/>
                <w:szCs w:val="24"/>
                <w:highlight w:val="none"/>
                <w:lang w:val="zh-CN"/>
              </w:rPr>
              <w:t>指标要求</w:t>
            </w:r>
          </w:p>
        </w:tc>
      </w:tr>
      <w:tr w14:paraId="28C0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3" w:type="dxa"/>
            <w:vAlign w:val="center"/>
          </w:tcPr>
          <w:p w14:paraId="6854CD64">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lang w:val="zh-CN"/>
              </w:rPr>
            </w:pPr>
          </w:p>
        </w:tc>
        <w:tc>
          <w:tcPr>
            <w:tcW w:w="1496" w:type="dxa"/>
            <w:vAlign w:val="center"/>
          </w:tcPr>
          <w:p w14:paraId="788B39F1">
            <w:pPr>
              <w:widowControl/>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snapToGrid w:val="0"/>
                <w:szCs w:val="24"/>
                <w:highlight w:val="none"/>
              </w:rPr>
              <w:t>报价要求</w:t>
            </w:r>
          </w:p>
        </w:tc>
        <w:tc>
          <w:tcPr>
            <w:tcW w:w="880" w:type="dxa"/>
            <w:vAlign w:val="center"/>
          </w:tcPr>
          <w:p w14:paraId="2869A0E1">
            <w:pPr>
              <w:jc w:val="center"/>
              <w:rPr>
                <w:rFonts w:hint="eastAsia" w:ascii="仿宋" w:hAnsi="仿宋" w:eastAsia="仿宋" w:cs="仿宋"/>
                <w:szCs w:val="24"/>
                <w:highlight w:val="none"/>
              </w:rPr>
            </w:pPr>
            <w:r>
              <w:rPr>
                <w:rFonts w:hint="eastAsia" w:ascii="仿宋" w:hAnsi="仿宋" w:eastAsia="仿宋" w:cs="仿宋"/>
                <w:b/>
                <w:szCs w:val="24"/>
                <w:highlight w:val="none"/>
                <w:lang w:val="zh-CN"/>
              </w:rPr>
              <w:t>★</w:t>
            </w:r>
          </w:p>
        </w:tc>
        <w:tc>
          <w:tcPr>
            <w:tcW w:w="5739" w:type="dxa"/>
          </w:tcPr>
          <w:p w14:paraId="4AAD87FD">
            <w:pPr>
              <w:spacing w:line="360" w:lineRule="exact"/>
              <w:jc w:val="both"/>
              <w:rPr>
                <w:rFonts w:hint="eastAsia" w:ascii="仿宋" w:hAnsi="仿宋" w:eastAsia="仿宋" w:cs="仿宋"/>
                <w:szCs w:val="24"/>
                <w:highlight w:val="none"/>
              </w:rPr>
            </w:pPr>
            <w:r>
              <w:rPr>
                <w:rFonts w:hint="eastAsia" w:ascii="仿宋" w:hAnsi="仿宋" w:eastAsia="仿宋" w:cs="仿宋"/>
                <w:szCs w:val="24"/>
                <w:highlight w:val="none"/>
              </w:rPr>
              <w:t>最高限价：</w:t>
            </w:r>
            <w:r>
              <w:rPr>
                <w:rFonts w:hint="eastAsia" w:ascii="仿宋" w:hAnsi="仿宋" w:eastAsia="仿宋" w:cs="仿宋"/>
                <w:szCs w:val="24"/>
                <w:highlight w:val="none"/>
                <w:u w:val="single"/>
              </w:rPr>
              <w:t>33</w:t>
            </w:r>
            <w:r>
              <w:rPr>
                <w:rFonts w:hint="eastAsia" w:ascii="仿宋" w:hAnsi="仿宋" w:eastAsia="仿宋" w:cs="仿宋"/>
                <w:szCs w:val="24"/>
                <w:highlight w:val="none"/>
              </w:rPr>
              <w:t>万元(报价超过最高限价的，其报价无效)。</w:t>
            </w:r>
          </w:p>
          <w:p w14:paraId="11A19E7A">
            <w:pPr>
              <w:pStyle w:val="7"/>
              <w:widowControl/>
              <w:autoSpaceDE w:val="0"/>
              <w:autoSpaceDN w:val="0"/>
              <w:adjustRightInd w:val="0"/>
              <w:snapToGrid w:val="0"/>
              <w:spacing w:line="360" w:lineRule="exact"/>
              <w:jc w:val="both"/>
              <w:rPr>
                <w:rFonts w:hint="eastAsia" w:ascii="仿宋" w:hAnsi="仿宋" w:eastAsia="仿宋" w:cs="仿宋"/>
                <w:snapToGrid w:val="0"/>
                <w:szCs w:val="24"/>
                <w:highlight w:val="none"/>
              </w:rPr>
            </w:pPr>
            <w:r>
              <w:rPr>
                <w:rFonts w:hint="eastAsia" w:ascii="仿宋" w:hAnsi="仿宋" w:eastAsia="仿宋" w:cs="仿宋"/>
                <w:snapToGrid w:val="0"/>
                <w:szCs w:val="24"/>
                <w:highlight w:val="none"/>
              </w:rPr>
              <w:t>本项目为总价包干，报价包括但不限于人员、设备、外业测量、内业成图、报告编制、图纸印制、数据处理、系统入库、资料装订、交通、对接协调、复测整改、</w:t>
            </w:r>
            <w:r>
              <w:rPr>
                <w:rFonts w:hint="eastAsia" w:ascii="仿宋" w:hAnsi="仿宋" w:eastAsia="仿宋" w:cs="仿宋"/>
                <w:bCs/>
                <w:szCs w:val="24"/>
                <w:highlight w:val="none"/>
              </w:rPr>
              <w:t>图审、建盘、</w:t>
            </w:r>
            <w:r>
              <w:rPr>
                <w:rFonts w:hint="eastAsia" w:ascii="仿宋" w:hAnsi="仿宋" w:eastAsia="仿宋" w:cs="仿宋"/>
                <w:snapToGrid w:val="0"/>
                <w:szCs w:val="24"/>
                <w:highlight w:val="none"/>
              </w:rPr>
              <w:t>税费、质保、售后服务等所有费用，采购人无需额外支付其他款项。</w:t>
            </w:r>
          </w:p>
        </w:tc>
      </w:tr>
      <w:tr w14:paraId="1258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Align w:val="center"/>
          </w:tcPr>
          <w:p w14:paraId="3106F028">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lang w:val="zh-CN"/>
              </w:rPr>
            </w:pPr>
          </w:p>
        </w:tc>
        <w:tc>
          <w:tcPr>
            <w:tcW w:w="1496" w:type="dxa"/>
            <w:vAlign w:val="center"/>
          </w:tcPr>
          <w:p w14:paraId="45BA5ED7">
            <w:pPr>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snapToGrid w:val="0"/>
                <w:kern w:val="0"/>
                <w:szCs w:val="24"/>
                <w:highlight w:val="none"/>
                <w:lang w:val="zh-CN"/>
              </w:rPr>
              <w:t>合同履行期限（</w:t>
            </w:r>
            <w:r>
              <w:rPr>
                <w:rFonts w:hint="eastAsia" w:ascii="仿宋" w:hAnsi="仿宋" w:eastAsia="仿宋" w:cs="仿宋"/>
                <w:snapToGrid w:val="0"/>
                <w:kern w:val="0"/>
                <w:szCs w:val="24"/>
                <w:highlight w:val="none"/>
              </w:rPr>
              <w:t>服务期</w:t>
            </w:r>
            <w:r>
              <w:rPr>
                <w:rFonts w:hint="eastAsia" w:ascii="仿宋" w:hAnsi="仿宋" w:eastAsia="仿宋" w:cs="仿宋"/>
                <w:snapToGrid w:val="0"/>
                <w:kern w:val="0"/>
                <w:szCs w:val="24"/>
                <w:highlight w:val="none"/>
                <w:lang w:val="zh-CN"/>
              </w:rPr>
              <w:t>）</w:t>
            </w:r>
          </w:p>
        </w:tc>
        <w:tc>
          <w:tcPr>
            <w:tcW w:w="880" w:type="dxa"/>
            <w:vAlign w:val="center"/>
          </w:tcPr>
          <w:p w14:paraId="5931F21C">
            <w:pPr>
              <w:autoSpaceDE w:val="0"/>
              <w:autoSpaceDN w:val="0"/>
              <w:adjustRightInd w:val="0"/>
              <w:snapToGrid w:val="0"/>
              <w:jc w:val="center"/>
              <w:rPr>
                <w:rFonts w:hint="eastAsia" w:ascii="仿宋" w:hAnsi="仿宋" w:eastAsia="仿宋" w:cs="仿宋"/>
                <w:b/>
                <w:bCs/>
                <w:snapToGrid w:val="0"/>
                <w:kern w:val="0"/>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2754694D">
            <w:pPr>
              <w:spacing w:line="360" w:lineRule="exact"/>
              <w:jc w:val="both"/>
              <w:rPr>
                <w:rFonts w:hint="eastAsia" w:ascii="仿宋" w:hAnsi="仿宋" w:eastAsia="仿宋" w:cs="仿宋"/>
                <w:snapToGrid w:val="0"/>
                <w:kern w:val="0"/>
                <w:szCs w:val="24"/>
                <w:highlight w:val="none"/>
                <w:lang w:val="en-US"/>
              </w:rPr>
            </w:pPr>
            <w:r>
              <w:rPr>
                <w:rFonts w:hint="eastAsia" w:ascii="仿宋" w:hAnsi="仿宋" w:eastAsia="仿宋" w:cs="仿宋"/>
                <w:snapToGrid w:val="0"/>
                <w:kern w:val="0"/>
                <w:szCs w:val="24"/>
                <w:highlight w:val="none"/>
                <w:lang w:val="zh-CN"/>
              </w:rPr>
              <w:t>自合同签订之日起，</w:t>
            </w:r>
            <w:r>
              <w:rPr>
                <w:rFonts w:hint="eastAsia" w:ascii="仿宋" w:hAnsi="仿宋" w:eastAsia="仿宋" w:cs="仿宋"/>
                <w:szCs w:val="21"/>
                <w:highlight w:val="none"/>
              </w:rPr>
              <w:t>40天内完成房产测绘工作，</w:t>
            </w:r>
            <w:r>
              <w:rPr>
                <w:rFonts w:hint="eastAsia" w:ascii="仿宋" w:hAnsi="仿宋" w:eastAsia="仿宋" w:cs="仿宋"/>
                <w:snapToGrid w:val="0"/>
                <w:kern w:val="0"/>
                <w:szCs w:val="24"/>
                <w:highlight w:val="none"/>
              </w:rPr>
              <w:t>协助</w:t>
            </w:r>
            <w:r>
              <w:rPr>
                <w:rFonts w:hint="eastAsia" w:ascii="仿宋" w:hAnsi="仿宋" w:eastAsia="仿宋" w:cs="仿宋"/>
                <w:szCs w:val="24"/>
                <w:highlight w:val="none"/>
              </w:rPr>
              <w:t>采购人</w:t>
            </w:r>
            <w:r>
              <w:rPr>
                <w:rFonts w:hint="eastAsia" w:ascii="仿宋" w:hAnsi="仿宋" w:eastAsia="仿宋" w:cs="仿宋"/>
                <w:snapToGrid w:val="0"/>
                <w:kern w:val="0"/>
                <w:szCs w:val="24"/>
                <w:highlight w:val="none"/>
              </w:rPr>
              <w:t>取得</w:t>
            </w:r>
            <w:r>
              <w:rPr>
                <w:rFonts w:hint="eastAsia" w:ascii="仿宋" w:hAnsi="仿宋" w:eastAsia="仿宋" w:cs="仿宋"/>
                <w:szCs w:val="21"/>
                <w:highlight w:val="none"/>
              </w:rPr>
              <w:t>武汉市房屋楼盘表确认告知书</w:t>
            </w:r>
            <w:r>
              <w:rPr>
                <w:rFonts w:hint="eastAsia" w:ascii="仿宋" w:hAnsi="仿宋" w:eastAsia="仿宋" w:cs="仿宋"/>
                <w:snapToGrid w:val="0"/>
                <w:kern w:val="0"/>
                <w:szCs w:val="24"/>
                <w:highlight w:val="none"/>
                <w:lang w:val="zh-CN"/>
              </w:rPr>
              <w:t>，并</w:t>
            </w:r>
            <w:r>
              <w:rPr>
                <w:rFonts w:hint="eastAsia" w:ascii="仿宋" w:hAnsi="仿宋" w:eastAsia="仿宋" w:cs="仿宋"/>
                <w:szCs w:val="24"/>
                <w:highlight w:val="none"/>
              </w:rPr>
              <w:t>配合采购人在建项环节上传相应的测绘资料</w:t>
            </w:r>
            <w:r>
              <w:rPr>
                <w:rFonts w:hint="eastAsia" w:ascii="仿宋" w:hAnsi="仿宋" w:eastAsia="仿宋" w:cs="仿宋"/>
                <w:snapToGrid w:val="0"/>
                <w:kern w:val="0"/>
                <w:szCs w:val="24"/>
                <w:highlight w:val="none"/>
                <w:lang w:val="zh-CN"/>
              </w:rPr>
              <w:t>，直至取得不动产权证书之日止</w:t>
            </w:r>
          </w:p>
        </w:tc>
      </w:tr>
      <w:tr w14:paraId="4ABA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03" w:type="dxa"/>
            <w:vAlign w:val="center"/>
          </w:tcPr>
          <w:p w14:paraId="6D6C2480">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lang w:val="zh-CN"/>
              </w:rPr>
            </w:pPr>
          </w:p>
        </w:tc>
        <w:tc>
          <w:tcPr>
            <w:tcW w:w="1496" w:type="dxa"/>
            <w:vAlign w:val="center"/>
          </w:tcPr>
          <w:p w14:paraId="6FBE00FF">
            <w:pPr>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snapToGrid w:val="0"/>
                <w:kern w:val="0"/>
                <w:szCs w:val="24"/>
                <w:highlight w:val="none"/>
              </w:rPr>
              <w:t>质保期</w:t>
            </w:r>
          </w:p>
        </w:tc>
        <w:tc>
          <w:tcPr>
            <w:tcW w:w="880" w:type="dxa"/>
            <w:vAlign w:val="center"/>
          </w:tcPr>
          <w:p w14:paraId="1E415ADB">
            <w:pPr>
              <w:autoSpaceDE w:val="0"/>
              <w:autoSpaceDN w:val="0"/>
              <w:adjustRightInd w:val="0"/>
              <w:snapToGrid w:val="0"/>
              <w:jc w:val="center"/>
              <w:rPr>
                <w:rFonts w:hint="eastAsia" w:ascii="仿宋" w:hAnsi="仿宋" w:eastAsia="仿宋" w:cs="仿宋"/>
                <w:b/>
                <w:bCs/>
                <w:snapToGrid w:val="0"/>
                <w:kern w:val="0"/>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0C749218">
            <w:pPr>
              <w:autoSpaceDE w:val="0"/>
              <w:autoSpaceDN w:val="0"/>
              <w:adjustRightInd w:val="0"/>
              <w:snapToGrid w:val="0"/>
              <w:spacing w:line="360" w:lineRule="exact"/>
              <w:jc w:val="both"/>
              <w:rPr>
                <w:rFonts w:hint="eastAsia" w:ascii="仿宋" w:hAnsi="仿宋" w:eastAsia="仿宋" w:cs="仿宋"/>
                <w:szCs w:val="24"/>
                <w:highlight w:val="none"/>
              </w:rPr>
            </w:pPr>
            <w:r>
              <w:rPr>
                <w:rFonts w:hint="eastAsia" w:ascii="仿宋" w:hAnsi="仿宋" w:eastAsia="仿宋" w:cs="仿宋"/>
                <w:szCs w:val="24"/>
                <w:highlight w:val="none"/>
              </w:rPr>
              <w:t>自</w:t>
            </w:r>
            <w:r>
              <w:rPr>
                <w:rFonts w:hint="eastAsia" w:ascii="仿宋" w:hAnsi="仿宋" w:eastAsia="仿宋" w:cs="仿宋"/>
                <w:szCs w:val="21"/>
                <w:highlight w:val="none"/>
              </w:rPr>
              <w:t>取得不动产权证书</w:t>
            </w:r>
            <w:r>
              <w:rPr>
                <w:rFonts w:hint="eastAsia" w:ascii="仿宋" w:hAnsi="仿宋" w:eastAsia="仿宋" w:cs="仿宋"/>
                <w:szCs w:val="24"/>
                <w:highlight w:val="none"/>
              </w:rPr>
              <w:t>之日起，提供1年质保期，质保期内无偿配合登记部门复核、档案核查、信息更正等技术服务。</w:t>
            </w:r>
          </w:p>
        </w:tc>
      </w:tr>
      <w:tr w14:paraId="0363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03" w:type="dxa"/>
            <w:vAlign w:val="center"/>
          </w:tcPr>
          <w:p w14:paraId="1F4F8B64">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rPr>
            </w:pPr>
          </w:p>
        </w:tc>
        <w:tc>
          <w:tcPr>
            <w:tcW w:w="1496" w:type="dxa"/>
            <w:vAlign w:val="center"/>
          </w:tcPr>
          <w:p w14:paraId="365B2909">
            <w:pPr>
              <w:widowControl/>
              <w:autoSpaceDE w:val="0"/>
              <w:autoSpaceDN w:val="0"/>
              <w:adjustRightInd w:val="0"/>
              <w:snapToGrid w:val="0"/>
              <w:jc w:val="center"/>
              <w:rPr>
                <w:rFonts w:hint="eastAsia" w:ascii="仿宋" w:hAnsi="仿宋" w:eastAsia="仿宋" w:cs="仿宋"/>
                <w:snapToGrid w:val="0"/>
                <w:kern w:val="0"/>
                <w:szCs w:val="24"/>
                <w:highlight w:val="none"/>
              </w:rPr>
            </w:pPr>
            <w:r>
              <w:rPr>
                <w:rFonts w:hint="eastAsia" w:ascii="仿宋" w:hAnsi="仿宋" w:eastAsia="仿宋" w:cs="仿宋"/>
                <w:snapToGrid w:val="0"/>
                <w:kern w:val="0"/>
                <w:szCs w:val="24"/>
                <w:highlight w:val="none"/>
              </w:rPr>
              <w:t>付款条件</w:t>
            </w:r>
          </w:p>
        </w:tc>
        <w:tc>
          <w:tcPr>
            <w:tcW w:w="880" w:type="dxa"/>
            <w:vAlign w:val="center"/>
          </w:tcPr>
          <w:p w14:paraId="783C9BB6">
            <w:pPr>
              <w:widowControl/>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080C3708">
            <w:pPr>
              <w:spacing w:line="360" w:lineRule="exact"/>
              <w:rPr>
                <w:rFonts w:hint="eastAsia" w:ascii="仿宋" w:hAnsi="仿宋" w:eastAsia="仿宋" w:cs="仿宋"/>
                <w:snapToGrid w:val="0"/>
                <w:kern w:val="0"/>
                <w:szCs w:val="24"/>
                <w:highlight w:val="none"/>
                <w:lang w:val="zh-CN"/>
              </w:rPr>
            </w:pPr>
            <w:r>
              <w:rPr>
                <w:rFonts w:ascii="仿宋" w:hAnsi="仿宋" w:eastAsia="仿宋" w:cs="仿宋"/>
                <w:snapToGrid w:val="0"/>
                <w:kern w:val="0"/>
                <w:szCs w:val="24"/>
                <w:highlight w:val="none"/>
                <w:lang w:val="zh-CN"/>
              </w:rPr>
              <w:t>按进度节点付款</w:t>
            </w:r>
          </w:p>
        </w:tc>
      </w:tr>
      <w:tr w14:paraId="1BDA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703" w:type="dxa"/>
            <w:vAlign w:val="center"/>
          </w:tcPr>
          <w:p w14:paraId="68F73877">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rPr>
            </w:pPr>
          </w:p>
        </w:tc>
        <w:tc>
          <w:tcPr>
            <w:tcW w:w="1496" w:type="dxa"/>
            <w:vAlign w:val="center"/>
          </w:tcPr>
          <w:p w14:paraId="3C334396">
            <w:pPr>
              <w:widowControl/>
              <w:autoSpaceDE w:val="0"/>
              <w:autoSpaceDN w:val="0"/>
              <w:adjustRightInd w:val="0"/>
              <w:snapToGrid w:val="0"/>
              <w:jc w:val="center"/>
              <w:rPr>
                <w:rFonts w:hint="eastAsia" w:ascii="仿宋" w:hAnsi="仿宋" w:eastAsia="仿宋" w:cs="仿宋"/>
                <w:snapToGrid w:val="0"/>
                <w:kern w:val="0"/>
                <w:szCs w:val="24"/>
                <w:highlight w:val="none"/>
              </w:rPr>
            </w:pPr>
            <w:r>
              <w:rPr>
                <w:rFonts w:hint="eastAsia" w:ascii="仿宋" w:hAnsi="仿宋" w:eastAsia="仿宋" w:cs="仿宋"/>
                <w:snapToGrid w:val="0"/>
                <w:kern w:val="0"/>
                <w:szCs w:val="24"/>
                <w:highlight w:val="none"/>
              </w:rPr>
              <w:t>验收要求</w:t>
            </w:r>
          </w:p>
        </w:tc>
        <w:tc>
          <w:tcPr>
            <w:tcW w:w="880" w:type="dxa"/>
            <w:vAlign w:val="center"/>
          </w:tcPr>
          <w:p w14:paraId="572F5BF5">
            <w:pPr>
              <w:widowControl/>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379A0A74">
            <w:pPr>
              <w:widowControl/>
              <w:autoSpaceDE w:val="0"/>
              <w:autoSpaceDN w:val="0"/>
              <w:adjustRightInd w:val="0"/>
              <w:snapToGrid w:val="0"/>
              <w:spacing w:line="360" w:lineRule="exact"/>
              <w:jc w:val="both"/>
              <w:rPr>
                <w:rFonts w:hint="eastAsia" w:ascii="仿宋" w:hAnsi="仿宋" w:eastAsia="仿宋" w:cs="仿宋"/>
                <w:snapToGrid w:val="0"/>
                <w:kern w:val="0"/>
                <w:szCs w:val="24"/>
                <w:highlight w:val="none"/>
              </w:rPr>
            </w:pPr>
            <w:r>
              <w:rPr>
                <w:rFonts w:hint="eastAsia" w:ascii="仿宋" w:hAnsi="仿宋" w:eastAsia="仿宋" w:cs="仿宋"/>
                <w:snapToGrid w:val="0"/>
                <w:kern w:val="0"/>
                <w:szCs w:val="24"/>
                <w:highlight w:val="none"/>
              </w:rPr>
              <w:t>1、本项目以完成</w:t>
            </w:r>
            <w:r>
              <w:rPr>
                <w:rFonts w:hint="eastAsia" w:ascii="仿宋" w:hAnsi="仿宋" w:eastAsia="仿宋" w:cs="仿宋"/>
                <w:szCs w:val="21"/>
                <w:highlight w:val="none"/>
              </w:rPr>
              <w:t>房产测绘报告、房产分幅分丘平面图测绘技术报告、分层分户图、分幅分丘图</w:t>
            </w:r>
            <w:r>
              <w:rPr>
                <w:rFonts w:hint="eastAsia" w:ascii="仿宋" w:hAnsi="仿宋" w:eastAsia="仿宋" w:cs="仿宋"/>
                <w:snapToGrid w:val="0"/>
                <w:kern w:val="0"/>
                <w:szCs w:val="24"/>
                <w:highlight w:val="none"/>
              </w:rPr>
              <w:t>、协助</w:t>
            </w:r>
            <w:r>
              <w:rPr>
                <w:rFonts w:hint="eastAsia" w:ascii="仿宋" w:hAnsi="仿宋" w:eastAsia="仿宋" w:cs="仿宋"/>
                <w:szCs w:val="24"/>
                <w:highlight w:val="none"/>
              </w:rPr>
              <w:t>采购人</w:t>
            </w:r>
            <w:r>
              <w:rPr>
                <w:rFonts w:hint="eastAsia" w:ascii="仿宋" w:hAnsi="仿宋" w:eastAsia="仿宋" w:cs="仿宋"/>
                <w:snapToGrid w:val="0"/>
                <w:kern w:val="0"/>
                <w:szCs w:val="24"/>
                <w:highlight w:val="none"/>
              </w:rPr>
              <w:t>取得</w:t>
            </w:r>
            <w:r>
              <w:rPr>
                <w:rFonts w:ascii="仿宋" w:hAnsi="仿宋" w:eastAsia="仿宋" w:cs="仿宋"/>
                <w:szCs w:val="21"/>
                <w:highlight w:val="none"/>
              </w:rPr>
              <w:t>武汉市房屋楼盘表确认告知书</w:t>
            </w:r>
            <w:r>
              <w:rPr>
                <w:rFonts w:hint="eastAsia" w:ascii="仿宋" w:hAnsi="仿宋" w:eastAsia="仿宋" w:cs="仿宋"/>
                <w:szCs w:val="21"/>
                <w:highlight w:val="none"/>
              </w:rPr>
              <w:t>，</w:t>
            </w:r>
            <w:r>
              <w:rPr>
                <w:rFonts w:hint="eastAsia" w:ascii="仿宋" w:hAnsi="仿宋" w:eastAsia="仿宋" w:cs="仿宋"/>
                <w:snapToGrid w:val="0"/>
                <w:kern w:val="0"/>
                <w:szCs w:val="24"/>
                <w:highlight w:val="none"/>
                <w:lang w:val="zh-CN"/>
              </w:rPr>
              <w:t>并</w:t>
            </w:r>
            <w:r>
              <w:rPr>
                <w:rFonts w:hint="eastAsia" w:ascii="仿宋" w:hAnsi="仿宋" w:eastAsia="仿宋" w:cs="仿宋"/>
                <w:szCs w:val="24"/>
                <w:highlight w:val="none"/>
              </w:rPr>
              <w:t>配合采购人在建项环节上传相应的测绘资料</w:t>
            </w:r>
            <w:r>
              <w:rPr>
                <w:rFonts w:hint="eastAsia" w:ascii="仿宋" w:hAnsi="仿宋" w:eastAsia="仿宋" w:cs="仿宋"/>
                <w:snapToGrid w:val="0"/>
                <w:kern w:val="0"/>
                <w:szCs w:val="24"/>
                <w:highlight w:val="none"/>
                <w:lang w:val="zh-CN"/>
              </w:rPr>
              <w:t>，直至取得不动产权证书</w:t>
            </w:r>
            <w:r>
              <w:rPr>
                <w:rFonts w:hint="eastAsia" w:ascii="仿宋" w:hAnsi="仿宋" w:eastAsia="仿宋" w:cs="仿宋"/>
                <w:snapToGrid w:val="0"/>
                <w:kern w:val="0"/>
                <w:szCs w:val="24"/>
                <w:highlight w:val="none"/>
              </w:rPr>
              <w:t>为最终验收依据。</w:t>
            </w:r>
          </w:p>
          <w:p w14:paraId="60BDB67F">
            <w:pPr>
              <w:widowControl/>
              <w:autoSpaceDE w:val="0"/>
              <w:autoSpaceDN w:val="0"/>
              <w:adjustRightInd w:val="0"/>
              <w:snapToGrid w:val="0"/>
              <w:spacing w:line="360" w:lineRule="exact"/>
              <w:jc w:val="both"/>
              <w:rPr>
                <w:rFonts w:hint="eastAsia" w:ascii="仿宋" w:hAnsi="仿宋" w:eastAsia="仿宋" w:cs="仿宋"/>
                <w:snapToGrid w:val="0"/>
                <w:kern w:val="0"/>
                <w:szCs w:val="24"/>
                <w:highlight w:val="none"/>
              </w:rPr>
            </w:pPr>
            <w:r>
              <w:rPr>
                <w:rFonts w:hint="eastAsia" w:ascii="仿宋" w:hAnsi="仿宋" w:eastAsia="仿宋" w:cs="仿宋"/>
                <w:snapToGrid w:val="0"/>
                <w:kern w:val="0"/>
                <w:szCs w:val="24"/>
                <w:highlight w:val="none"/>
              </w:rPr>
              <w:t>2、成果资料完整、规范、签章有效，全部移交采购人并完成归档。</w:t>
            </w:r>
          </w:p>
        </w:tc>
      </w:tr>
      <w:tr w14:paraId="5A04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703" w:type="dxa"/>
            <w:vAlign w:val="center"/>
          </w:tcPr>
          <w:p w14:paraId="22D81158">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rPr>
            </w:pPr>
          </w:p>
        </w:tc>
        <w:tc>
          <w:tcPr>
            <w:tcW w:w="1496" w:type="dxa"/>
            <w:vAlign w:val="center"/>
          </w:tcPr>
          <w:p w14:paraId="456E510D">
            <w:pPr>
              <w:widowControl/>
              <w:autoSpaceDE w:val="0"/>
              <w:autoSpaceDN w:val="0"/>
              <w:adjustRightInd w:val="0"/>
              <w:snapToGrid w:val="0"/>
              <w:jc w:val="center"/>
              <w:rPr>
                <w:rFonts w:hint="eastAsia" w:ascii="仿宋" w:hAnsi="仿宋" w:eastAsia="仿宋" w:cs="仿宋"/>
                <w:snapToGrid w:val="0"/>
                <w:kern w:val="0"/>
                <w:szCs w:val="24"/>
                <w:highlight w:val="none"/>
                <w:lang w:val="zh-CN"/>
              </w:rPr>
            </w:pPr>
            <w:r>
              <w:rPr>
                <w:rFonts w:hint="eastAsia" w:ascii="仿宋" w:hAnsi="仿宋" w:eastAsia="仿宋" w:cs="仿宋"/>
                <w:snapToGrid w:val="0"/>
                <w:kern w:val="0"/>
                <w:szCs w:val="24"/>
                <w:highlight w:val="none"/>
              </w:rPr>
              <w:t>质量要求</w:t>
            </w:r>
          </w:p>
        </w:tc>
        <w:tc>
          <w:tcPr>
            <w:tcW w:w="880" w:type="dxa"/>
            <w:vAlign w:val="center"/>
          </w:tcPr>
          <w:p w14:paraId="68BCB916">
            <w:pPr>
              <w:widowControl/>
              <w:autoSpaceDE w:val="0"/>
              <w:autoSpaceDN w:val="0"/>
              <w:adjustRightInd w:val="0"/>
              <w:snapToGrid w:val="0"/>
              <w:jc w:val="center"/>
              <w:rPr>
                <w:rFonts w:hint="eastAsia" w:ascii="仿宋" w:hAnsi="仿宋" w:eastAsia="仿宋" w:cs="仿宋"/>
                <w:b/>
                <w:bCs/>
                <w:color w:val="000000"/>
                <w:kern w:val="0"/>
                <w:szCs w:val="24"/>
                <w:highlight w:val="none"/>
              </w:rPr>
            </w:pPr>
            <w:r>
              <w:rPr>
                <w:rFonts w:hint="eastAsia" w:ascii="仿宋" w:hAnsi="仿宋" w:eastAsia="仿宋" w:cs="仿宋"/>
                <w:b/>
                <w:szCs w:val="24"/>
                <w:highlight w:val="none"/>
                <w:lang w:val="zh-CN"/>
              </w:rPr>
              <w:t>★</w:t>
            </w:r>
          </w:p>
        </w:tc>
        <w:tc>
          <w:tcPr>
            <w:tcW w:w="5739" w:type="dxa"/>
            <w:vAlign w:val="center"/>
          </w:tcPr>
          <w:p w14:paraId="4FCC7D4F">
            <w:pPr>
              <w:widowControl/>
              <w:autoSpaceDE w:val="0"/>
              <w:autoSpaceDN w:val="0"/>
              <w:adjustRightInd w:val="0"/>
              <w:snapToGrid w:val="0"/>
              <w:spacing w:line="360" w:lineRule="exact"/>
              <w:jc w:val="both"/>
              <w:rPr>
                <w:rFonts w:hint="eastAsia" w:ascii="仿宋" w:hAnsi="仿宋" w:eastAsia="仿宋" w:cs="仿宋"/>
                <w:szCs w:val="24"/>
                <w:highlight w:val="none"/>
              </w:rPr>
            </w:pPr>
            <w:r>
              <w:rPr>
                <w:rFonts w:hint="eastAsia" w:ascii="仿宋" w:hAnsi="仿宋" w:eastAsia="仿宋" w:cs="仿宋"/>
                <w:szCs w:val="24"/>
                <w:highlight w:val="none"/>
              </w:rPr>
              <w:t>（1）所有测绘成果符合国家规范及武汉市不动产登记技术标准，一次性通过住更局、自然资源、不动产登记部门全流程审核。</w:t>
            </w:r>
          </w:p>
          <w:p w14:paraId="2D0D74A5">
            <w:pPr>
              <w:widowControl/>
              <w:autoSpaceDE w:val="0"/>
              <w:autoSpaceDN w:val="0"/>
              <w:adjustRightInd w:val="0"/>
              <w:snapToGrid w:val="0"/>
              <w:spacing w:line="360" w:lineRule="exact"/>
              <w:jc w:val="both"/>
              <w:rPr>
                <w:rFonts w:hint="eastAsia" w:ascii="仿宋" w:hAnsi="仿宋" w:eastAsia="仿宋" w:cs="仿宋"/>
                <w:szCs w:val="24"/>
                <w:highlight w:val="none"/>
              </w:rPr>
            </w:pPr>
            <w:r>
              <w:rPr>
                <w:rFonts w:hint="eastAsia" w:ascii="仿宋" w:hAnsi="仿宋" w:eastAsia="仿宋" w:cs="仿宋"/>
                <w:szCs w:val="24"/>
                <w:highlight w:val="none"/>
              </w:rPr>
              <w:t>（2）测绘数据、界址、面积、图纸零重大差错，确保协助采购人顺利</w:t>
            </w:r>
            <w:r>
              <w:rPr>
                <w:rFonts w:hint="eastAsia" w:ascii="仿宋" w:hAnsi="仿宋" w:eastAsia="仿宋" w:cs="仿宋"/>
                <w:snapToGrid w:val="0"/>
                <w:kern w:val="0"/>
                <w:szCs w:val="24"/>
                <w:highlight w:val="none"/>
              </w:rPr>
              <w:t>取得</w:t>
            </w:r>
            <w:r>
              <w:rPr>
                <w:rFonts w:hint="eastAsia" w:ascii="仿宋" w:hAnsi="仿宋" w:eastAsia="仿宋" w:cs="仿宋"/>
                <w:szCs w:val="21"/>
                <w:highlight w:val="none"/>
              </w:rPr>
              <w:t>不动产权证书</w:t>
            </w:r>
            <w:r>
              <w:rPr>
                <w:rFonts w:hint="eastAsia" w:ascii="仿宋" w:hAnsi="仿宋" w:eastAsia="仿宋" w:cs="仿宋"/>
                <w:szCs w:val="24"/>
                <w:highlight w:val="none"/>
              </w:rPr>
              <w:t>。</w:t>
            </w:r>
          </w:p>
          <w:p w14:paraId="23073D9F">
            <w:pPr>
              <w:widowControl/>
              <w:autoSpaceDE w:val="0"/>
              <w:autoSpaceDN w:val="0"/>
              <w:adjustRightInd w:val="0"/>
              <w:snapToGrid w:val="0"/>
              <w:spacing w:line="360" w:lineRule="exact"/>
              <w:jc w:val="both"/>
              <w:rPr>
                <w:rFonts w:hint="eastAsia" w:ascii="仿宋" w:hAnsi="仿宋" w:eastAsia="仿宋" w:cs="仿宋"/>
                <w:szCs w:val="24"/>
                <w:highlight w:val="none"/>
              </w:rPr>
            </w:pPr>
            <w:r>
              <w:rPr>
                <w:rFonts w:hint="eastAsia" w:ascii="仿宋" w:hAnsi="仿宋" w:eastAsia="仿宋" w:cs="仿宋"/>
                <w:szCs w:val="24"/>
                <w:highlight w:val="none"/>
              </w:rPr>
              <w:t>（3）服务全程合规、资料完整、流程顺畅，无因服务质量问题造成办证延误、返工、驳回。</w:t>
            </w:r>
          </w:p>
        </w:tc>
      </w:tr>
      <w:tr w14:paraId="0E09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vAlign w:val="center"/>
          </w:tcPr>
          <w:p w14:paraId="5D005222">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rPr>
            </w:pPr>
          </w:p>
        </w:tc>
        <w:tc>
          <w:tcPr>
            <w:tcW w:w="1496" w:type="dxa"/>
            <w:vAlign w:val="center"/>
          </w:tcPr>
          <w:p w14:paraId="199D6CDA">
            <w:pPr>
              <w:widowControl/>
              <w:autoSpaceDE w:val="0"/>
              <w:autoSpaceDN w:val="0"/>
              <w:adjustRightInd w:val="0"/>
              <w:snapToGrid w:val="0"/>
              <w:jc w:val="center"/>
              <w:rPr>
                <w:rFonts w:hint="eastAsia" w:ascii="仿宋" w:hAnsi="仿宋" w:eastAsia="仿宋" w:cs="仿宋"/>
                <w:snapToGrid w:val="0"/>
                <w:kern w:val="0"/>
                <w:szCs w:val="24"/>
                <w:highlight w:val="none"/>
              </w:rPr>
            </w:pPr>
            <w:r>
              <w:rPr>
                <w:rFonts w:hint="eastAsia" w:ascii="仿宋" w:hAnsi="仿宋" w:eastAsia="仿宋" w:cs="仿宋"/>
                <w:snapToGrid w:val="0"/>
                <w:kern w:val="0"/>
                <w:szCs w:val="24"/>
                <w:highlight w:val="none"/>
              </w:rPr>
              <w:t>违约责任</w:t>
            </w:r>
          </w:p>
        </w:tc>
        <w:tc>
          <w:tcPr>
            <w:tcW w:w="880" w:type="dxa"/>
            <w:vAlign w:val="center"/>
          </w:tcPr>
          <w:p w14:paraId="60700504">
            <w:pPr>
              <w:widowControl/>
              <w:autoSpaceDE w:val="0"/>
              <w:autoSpaceDN w:val="0"/>
              <w:adjustRightInd w:val="0"/>
              <w:snapToGrid w:val="0"/>
              <w:jc w:val="center"/>
              <w:rPr>
                <w:rFonts w:hint="eastAsia" w:ascii="仿宋" w:hAnsi="仿宋" w:eastAsia="仿宋" w:cs="仿宋"/>
                <w:b/>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2238CD2F">
            <w:pPr>
              <w:widowControl/>
              <w:autoSpaceDE w:val="0"/>
              <w:autoSpaceDN w:val="0"/>
              <w:adjustRightInd w:val="0"/>
              <w:snapToGrid w:val="0"/>
              <w:spacing w:line="360" w:lineRule="exact"/>
              <w:jc w:val="both"/>
              <w:rPr>
                <w:rFonts w:hint="eastAsia" w:eastAsia="仿宋"/>
                <w:highlight w:val="none"/>
              </w:rPr>
            </w:pPr>
            <w:r>
              <w:rPr>
                <w:rFonts w:hint="eastAsia" w:eastAsia="仿宋"/>
                <w:highlight w:val="none"/>
              </w:rPr>
              <w:t>1、因供应商测绘成果错误、延误、不符合标准导致无法办证或延误的，由供应商承担全部责任并无偿整改。</w:t>
            </w:r>
          </w:p>
        </w:tc>
      </w:tr>
      <w:tr w14:paraId="5CBE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3" w:type="dxa"/>
            <w:vAlign w:val="center"/>
          </w:tcPr>
          <w:p w14:paraId="62BF5A3E">
            <w:pPr>
              <w:numPr>
                <w:ilvl w:val="0"/>
                <w:numId w:val="2"/>
              </w:numPr>
              <w:autoSpaceDE w:val="0"/>
              <w:autoSpaceDN w:val="0"/>
              <w:adjustRightInd w:val="0"/>
              <w:snapToGrid w:val="0"/>
              <w:jc w:val="center"/>
              <w:rPr>
                <w:rFonts w:hint="eastAsia" w:ascii="仿宋" w:hAnsi="仿宋" w:eastAsia="仿宋" w:cs="仿宋"/>
                <w:snapToGrid w:val="0"/>
                <w:kern w:val="0"/>
                <w:szCs w:val="24"/>
                <w:highlight w:val="none"/>
              </w:rPr>
            </w:pPr>
          </w:p>
        </w:tc>
        <w:tc>
          <w:tcPr>
            <w:tcW w:w="1496" w:type="dxa"/>
            <w:vAlign w:val="center"/>
          </w:tcPr>
          <w:p w14:paraId="10C2C386">
            <w:pPr>
              <w:widowControl/>
              <w:autoSpaceDE w:val="0"/>
              <w:autoSpaceDN w:val="0"/>
              <w:adjustRightInd w:val="0"/>
              <w:snapToGrid w:val="0"/>
              <w:jc w:val="center"/>
              <w:rPr>
                <w:rFonts w:hint="default" w:ascii="仿宋" w:hAnsi="仿宋" w:eastAsia="仿宋" w:cs="仿宋"/>
                <w:snapToGrid w:val="0"/>
                <w:kern w:val="0"/>
                <w:szCs w:val="24"/>
                <w:highlight w:val="none"/>
                <w:lang w:val="en-US" w:eastAsia="zh-CN"/>
              </w:rPr>
            </w:pPr>
            <w:r>
              <w:rPr>
                <w:rFonts w:hint="eastAsia" w:ascii="仿宋" w:hAnsi="仿宋" w:eastAsia="仿宋" w:cs="仿宋"/>
                <w:snapToGrid w:val="0"/>
                <w:kern w:val="0"/>
                <w:szCs w:val="24"/>
                <w:highlight w:val="none"/>
                <w:lang w:val="en-US" w:eastAsia="zh-CN"/>
              </w:rPr>
              <w:t>其他要求</w:t>
            </w:r>
          </w:p>
        </w:tc>
        <w:tc>
          <w:tcPr>
            <w:tcW w:w="880" w:type="dxa"/>
            <w:vAlign w:val="center"/>
          </w:tcPr>
          <w:p w14:paraId="373DF6A3">
            <w:pPr>
              <w:widowControl/>
              <w:autoSpaceDE w:val="0"/>
              <w:autoSpaceDN w:val="0"/>
              <w:adjustRightInd w:val="0"/>
              <w:snapToGrid w:val="0"/>
              <w:jc w:val="center"/>
              <w:rPr>
                <w:rFonts w:hint="eastAsia" w:ascii="仿宋" w:hAnsi="仿宋" w:eastAsia="仿宋" w:cs="仿宋"/>
                <w:b/>
                <w:szCs w:val="24"/>
                <w:highlight w:val="none"/>
                <w:lang w:val="zh-CN"/>
              </w:rPr>
            </w:pPr>
            <w:r>
              <w:rPr>
                <w:rFonts w:hint="eastAsia" w:ascii="仿宋" w:hAnsi="仿宋" w:eastAsia="仿宋" w:cs="仿宋"/>
                <w:b/>
                <w:szCs w:val="24"/>
                <w:highlight w:val="none"/>
                <w:lang w:val="zh-CN"/>
              </w:rPr>
              <w:t>★</w:t>
            </w:r>
          </w:p>
        </w:tc>
        <w:tc>
          <w:tcPr>
            <w:tcW w:w="5739" w:type="dxa"/>
            <w:vAlign w:val="center"/>
          </w:tcPr>
          <w:p w14:paraId="2E538230">
            <w:pPr>
              <w:widowControl/>
              <w:autoSpaceDE w:val="0"/>
              <w:autoSpaceDN w:val="0"/>
              <w:adjustRightInd w:val="0"/>
              <w:snapToGrid w:val="0"/>
              <w:spacing w:line="360" w:lineRule="exact"/>
              <w:jc w:val="both"/>
              <w:rPr>
                <w:rFonts w:hint="eastAsia" w:eastAsia="仿宋"/>
                <w:highlight w:val="none"/>
              </w:rPr>
            </w:pPr>
            <w:r>
              <w:rPr>
                <w:rFonts w:hint="eastAsia" w:eastAsia="仿宋"/>
                <w:highlight w:val="none"/>
              </w:rPr>
              <w:t>供应商须在武汉市自然资源和城乡建设局的“多测合一”服务平台进行入库</w:t>
            </w:r>
          </w:p>
        </w:tc>
      </w:tr>
      <w:bookmarkEnd w:id="11"/>
      <w:bookmarkEnd w:id="12"/>
      <w:bookmarkEnd w:id="13"/>
      <w:bookmarkEnd w:id="14"/>
    </w:tbl>
    <w:p w14:paraId="6411C485">
      <w:pPr>
        <w:pStyle w:val="3"/>
        <w:rPr>
          <w:rFonts w:hint="eastAsia" w:ascii="仿宋" w:hAnsi="仿宋" w:eastAsia="仿宋" w:cs="仿宋"/>
          <w:b/>
          <w:bCs/>
          <w:highlight w:val="none"/>
        </w:rPr>
      </w:pPr>
      <w:bookmarkStart w:id="15" w:name="_Toc30996"/>
      <w:bookmarkStart w:id="16" w:name="_Toc3885"/>
      <w:bookmarkStart w:id="17" w:name="_Toc4971"/>
      <w:r>
        <w:rPr>
          <w:rFonts w:hint="eastAsia" w:ascii="仿宋" w:hAnsi="仿宋" w:eastAsia="仿宋" w:cs="仿宋"/>
          <w:b/>
          <w:bCs/>
          <w:highlight w:val="none"/>
        </w:rPr>
        <w:t>五、其他</w:t>
      </w:r>
      <w:bookmarkEnd w:id="15"/>
      <w:bookmarkEnd w:id="16"/>
      <w:bookmarkEnd w:id="17"/>
    </w:p>
    <w:p w14:paraId="0417C10B">
      <w:pPr>
        <w:pStyle w:val="7"/>
        <w:widowControl/>
        <w:autoSpaceDE w:val="0"/>
        <w:autoSpaceDN w:val="0"/>
        <w:adjustRightInd w:val="0"/>
        <w:snapToGrid w:val="0"/>
        <w:ind w:firstLine="480" w:firstLineChars="200"/>
        <w:jc w:val="both"/>
        <w:rPr>
          <w:rFonts w:hint="eastAsia" w:ascii="仿宋" w:hAnsi="仿宋" w:eastAsia="仿宋" w:cs="仿宋"/>
          <w:szCs w:val="24"/>
          <w:highlight w:val="none"/>
        </w:rPr>
      </w:pPr>
      <w:r>
        <w:rPr>
          <w:rFonts w:hint="eastAsia" w:ascii="仿宋" w:hAnsi="仿宋" w:eastAsia="仿宋" w:cs="仿宋"/>
          <w:szCs w:val="24"/>
          <w:highlight w:val="none"/>
        </w:rPr>
        <w:t>1.供应商应具有完成本项目的能力及经验，有良好的用户反馈。</w:t>
      </w:r>
    </w:p>
    <w:p w14:paraId="4EB3EDD8">
      <w:pPr>
        <w:pStyle w:val="7"/>
        <w:widowControl/>
        <w:autoSpaceDE w:val="0"/>
        <w:autoSpaceDN w:val="0"/>
        <w:adjustRightInd w:val="0"/>
        <w:snapToGrid w:val="0"/>
        <w:ind w:firstLine="480" w:firstLineChars="200"/>
        <w:jc w:val="both"/>
        <w:rPr>
          <w:rFonts w:hint="eastAsia" w:ascii="仿宋" w:hAnsi="仿宋" w:eastAsia="仿宋" w:cs="仿宋"/>
          <w:szCs w:val="24"/>
          <w:highlight w:val="none"/>
        </w:rPr>
      </w:pPr>
      <w:r>
        <w:rPr>
          <w:rFonts w:hint="eastAsia" w:ascii="仿宋" w:hAnsi="仿宋" w:eastAsia="仿宋" w:cs="仿宋"/>
          <w:szCs w:val="24"/>
          <w:highlight w:val="none"/>
        </w:rPr>
        <w:t>2.供应商拟派项目团队成员需具备完成本项目的能力及经验。</w:t>
      </w:r>
    </w:p>
    <w:p w14:paraId="28BF8675">
      <w:pPr>
        <w:pStyle w:val="7"/>
        <w:widowControl/>
        <w:autoSpaceDE w:val="0"/>
        <w:autoSpaceDN w:val="0"/>
        <w:adjustRightInd w:val="0"/>
        <w:snapToGrid w:val="0"/>
        <w:ind w:firstLine="480" w:firstLineChars="200"/>
        <w:jc w:val="both"/>
        <w:rPr>
          <w:rFonts w:hint="eastAsia" w:ascii="仿宋" w:hAnsi="仿宋" w:eastAsia="仿宋" w:cs="仿宋"/>
          <w:szCs w:val="24"/>
          <w:highlight w:val="none"/>
        </w:rPr>
      </w:pPr>
      <w:r>
        <w:rPr>
          <w:rFonts w:hint="eastAsia" w:ascii="仿宋" w:hAnsi="仿宋" w:eastAsia="仿宋" w:cs="仿宋"/>
          <w:szCs w:val="24"/>
          <w:highlight w:val="none"/>
        </w:rPr>
        <w:t>3.供应商应对本项目提出总体服务方案、重难点分析、应对措施及建议</w:t>
      </w:r>
    </w:p>
    <w:p w14:paraId="77004451">
      <w:pPr>
        <w:pStyle w:val="7"/>
        <w:widowControl/>
        <w:autoSpaceDE w:val="0"/>
        <w:autoSpaceDN w:val="0"/>
        <w:adjustRightInd w:val="0"/>
        <w:snapToGrid w:val="0"/>
        <w:ind w:firstLine="480" w:firstLineChars="200"/>
        <w:jc w:val="both"/>
        <w:rPr>
          <w:rFonts w:hint="eastAsia"/>
          <w:highlight w:val="none"/>
        </w:rPr>
      </w:pPr>
      <w:r>
        <w:rPr>
          <w:rFonts w:hint="eastAsia" w:ascii="仿宋" w:hAnsi="仿宋" w:eastAsia="仿宋" w:cs="仿宋"/>
          <w:szCs w:val="24"/>
          <w:highlight w:val="none"/>
        </w:rPr>
        <w:t>质量保障措施、应急预案。</w:t>
      </w:r>
    </w:p>
    <w:p w14:paraId="781576DE">
      <w:pPr>
        <w:pStyle w:val="3"/>
        <w:keepNext w:val="0"/>
        <w:keepLines w:val="0"/>
        <w:pageBreakBefore w:val="0"/>
        <w:widowControl w:val="0"/>
        <w:kinsoku/>
        <w:wordWrap/>
        <w:overflowPunct/>
        <w:topLinePunct w:val="0"/>
        <w:autoSpaceDE/>
        <w:autoSpaceDN/>
        <w:bidi w:val="0"/>
        <w:adjustRightInd/>
        <w:snapToGrid/>
        <w:spacing w:before="0" w:after="0" w:line="416" w:lineRule="auto"/>
        <w:textAlignment w:val="auto"/>
        <w:rPr>
          <w:rFonts w:hint="eastAsia" w:ascii="仿宋" w:hAnsi="仿宋" w:eastAsia="仿宋" w:cs="仿宋"/>
          <w:b/>
          <w:bCs/>
          <w:highlight w:val="none"/>
        </w:rPr>
      </w:pPr>
      <w:bookmarkStart w:id="18" w:name="_Toc17683"/>
      <w:r>
        <w:rPr>
          <w:rFonts w:hint="eastAsia" w:ascii="仿宋" w:hAnsi="仿宋" w:eastAsia="仿宋" w:cs="仿宋"/>
          <w:b/>
          <w:bCs/>
          <w:highlight w:val="none"/>
        </w:rPr>
        <w:t>六、采购标的的验收标准</w:t>
      </w:r>
      <w:bookmarkEnd w:id="18"/>
    </w:p>
    <w:p w14:paraId="79976262">
      <w:pPr>
        <w:pStyle w:val="7"/>
        <w:widowControl/>
        <w:autoSpaceDE w:val="0"/>
        <w:autoSpaceDN w:val="0"/>
        <w:adjustRightInd w:val="0"/>
        <w:snapToGrid w:val="0"/>
        <w:ind w:firstLine="480" w:firstLineChars="200"/>
        <w:jc w:val="both"/>
      </w:pPr>
      <w:r>
        <w:rPr>
          <w:rFonts w:hint="eastAsia" w:ascii="仿宋" w:hAnsi="仿宋" w:eastAsia="仿宋" w:cs="仿宋"/>
          <w:szCs w:val="24"/>
          <w:highlight w:val="none"/>
        </w:rPr>
        <w:t>根据国家及地方有关标准以及竞争性磋商文件和响应文件确认条款进行履约验收。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763F7"/>
    <w:multiLevelType w:val="multilevel"/>
    <w:tmpl w:val="A20763F7"/>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Times New Roman"/>
        <w:sz w:val="30"/>
        <w:szCs w:val="30"/>
      </w:rPr>
    </w:lvl>
    <w:lvl w:ilvl="2" w:tentative="0">
      <w:start w:val="1"/>
      <w:numFmt w:val="decimal"/>
      <w:lvlText w:val="%1.%2.%3."/>
      <w:lvlJc w:val="left"/>
      <w:pPr>
        <w:ind w:left="709" w:hanging="709"/>
      </w:pPr>
      <w:rPr>
        <w:rFonts w:hint="default" w:ascii="宋体" w:hAnsi="宋体" w:eastAsia="宋体" w:cs="宋体"/>
        <w:sz w:val="28"/>
        <w:szCs w:val="28"/>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53A63CBD"/>
    <w:multiLevelType w:val="multilevel"/>
    <w:tmpl w:val="53A63CBD"/>
    <w:lvl w:ilvl="0" w:tentative="0">
      <w:start w:val="1"/>
      <w:numFmt w:val="chineseCountingThousand"/>
      <w:suff w:val="nothing"/>
      <w:lvlText w:val="%1、"/>
      <w:lvlJc w:val="left"/>
      <w:pPr>
        <w:ind w:left="420" w:hanging="420"/>
      </w:pPr>
      <w:rPr>
        <w:rFonts w:hint="eastAsia"/>
        <w:i w:val="0"/>
        <w:i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15951"/>
    <w:rsid w:val="69C15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Arial"/>
      <w:kern w:val="2"/>
      <w:sz w:val="24"/>
      <w:szCs w:val="22"/>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qFormat/>
    <w:uiPriority w:val="0"/>
    <w:pPr>
      <w:spacing w:before="260" w:after="260" w:line="415" w:lineRule="auto"/>
      <w:outlineLvl w:val="1"/>
    </w:pPr>
    <w:rPr>
      <w:rFonts w:ascii="等线 Light" w:hAnsi="等线 Light" w:cs="Times New Roman"/>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6">
    <w:name w:val="List Paragraph"/>
    <w:basedOn w:val="1"/>
    <w:qFormat/>
    <w:uiPriority w:val="0"/>
    <w:pPr>
      <w:ind w:firstLine="200" w:firstLineChars="200"/>
    </w:pPr>
  </w:style>
  <w:style w:type="paragraph" w:customStyle="1" w:styleId="7">
    <w:name w:val="正文1"/>
    <w:next w:val="8"/>
    <w:qFormat/>
    <w:uiPriority w:val="0"/>
    <w:pPr>
      <w:widowControl w:val="0"/>
      <w:spacing w:line="360" w:lineRule="auto"/>
    </w:pPr>
    <w:rPr>
      <w:rFonts w:ascii="宋体" w:hAnsi="宋体" w:eastAsia="宋体" w:cs="Times New Roman"/>
      <w:kern w:val="2"/>
      <w:sz w:val="24"/>
      <w:szCs w:val="22"/>
      <w:lang w:val="en-US" w:eastAsia="zh-CN" w:bidi="ar-SA"/>
    </w:rPr>
  </w:style>
  <w:style w:type="paragraph" w:customStyle="1" w:styleId="8">
    <w:name w:val="标题 31"/>
    <w:basedOn w:val="7"/>
    <w:next w:val="7"/>
    <w:qFormat/>
    <w:uiPriority w:val="0"/>
    <w:pPr>
      <w:keepNext/>
      <w:keepLines/>
      <w:spacing w:before="260" w:after="260" w:line="415" w:lineRule="auto"/>
      <w:outlineLvl w:val="2"/>
    </w:pPr>
    <w:rPr>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2026-08-20T07:31:00Z</dcterms:created>
  <dc:creator>czy</dc:creator>
  <cp:lastModifiedBy>czy</cp:lastModifiedBy>
  <dcterms:modified xsi:type="dcterms:W3CDTF">2026-08-20T07:32:08Z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0AAA2C20EA5B493FA09879A724526075_11</vt:lpwstr>
  </property>
  <property fmtid="{D5CDD505-2E9C-101B-9397-08002B2CF9AE}" pid="4" name="KSOTemplateDocerSaveRecord">
    <vt:lpwstr>eyJoZGlkIjoiZjFmZWIzNDg2MmIzZjExOTIzMmViNTBmYTMwYTk0ZWYiLCJ1c2VySWQiOiIzNzM0OTU0NjAifQ==</vt:lpwstr>
  </property>
</Properties>
</file>